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61E3" w14:textId="14B3ACFF" w:rsidR="00036888" w:rsidRDefault="00867EF7" w:rsidP="00036888">
      <w:pPr>
        <w:shd w:val="clear" w:color="auto" w:fill="FFFFFF"/>
        <w:spacing w:after="360" w:line="240" w:lineRule="auto"/>
        <w:jc w:val="center"/>
        <w:outlineLvl w:val="2"/>
        <w:rPr>
          <w:rFonts w:ascii="Verdana" w:hAnsi="Verdana"/>
          <w:b/>
          <w:bCs/>
          <w:sz w:val="18"/>
          <w:szCs w:val="18"/>
        </w:rPr>
      </w:pPr>
      <w:bookmarkStart w:id="0" w:name="bmTitel" w:colFirst="0" w:colLast="0"/>
      <w:r w:rsidRPr="00FF4F3A">
        <w:rPr>
          <w:rFonts w:ascii="Verdana" w:hAnsi="Verdana"/>
          <w:b/>
          <w:bCs/>
          <w:sz w:val="18"/>
          <w:szCs w:val="18"/>
        </w:rPr>
        <w:t>Assessment criteria relating to the applicant</w:t>
      </w:r>
    </w:p>
    <w:p w14:paraId="0CE15229" w14:textId="410F8149" w:rsidR="00036888" w:rsidRPr="00036888" w:rsidRDefault="00867EF7" w:rsidP="00867EF7">
      <w:pPr>
        <w:shd w:val="clear" w:color="auto" w:fill="FFFFFF"/>
        <w:spacing w:after="360" w:line="240" w:lineRule="auto"/>
        <w:jc w:val="center"/>
        <w:outlineLvl w:val="2"/>
        <w:rPr>
          <w:rFonts w:ascii="Verdana" w:eastAsia="Times New Roman" w:hAnsi="Verdana" w:cstheme="minorHAnsi"/>
          <w:sz w:val="18"/>
          <w:szCs w:val="18"/>
          <w:lang w:val="en-US"/>
        </w:rPr>
      </w:pPr>
      <w:r w:rsidRPr="00FF4F3A">
        <w:rPr>
          <w:rFonts w:ascii="Verdana" w:hAnsi="Verdana"/>
          <w:b/>
          <w:bCs/>
          <w:sz w:val="18"/>
          <w:szCs w:val="18"/>
        </w:rPr>
        <w:t>Assessment criteria relating to the application</w:t>
      </w:r>
    </w:p>
    <w:p w14:paraId="5C04079A" w14:textId="77777777" w:rsidR="00036888" w:rsidRDefault="00036888">
      <w:pPr>
        <w:spacing w:after="0" w:line="240" w:lineRule="auto"/>
        <w:rPr>
          <w:rFonts w:ascii="Verdana" w:hAnsi="Verdana"/>
          <w:b/>
          <w:bCs/>
          <w:sz w:val="18"/>
          <w:szCs w:val="18"/>
        </w:rPr>
      </w:pPr>
      <w:r>
        <w:rPr>
          <w:rFonts w:ascii="Verdana" w:hAnsi="Verdana"/>
          <w:b/>
          <w:bCs/>
          <w:sz w:val="18"/>
          <w:szCs w:val="18"/>
        </w:rPr>
        <w:br w:type="page"/>
      </w:r>
    </w:p>
    <w:p w14:paraId="67DEA264" w14:textId="77777777" w:rsidR="00867EF7" w:rsidRPr="00FF4F3A" w:rsidRDefault="00867EF7" w:rsidP="00867EF7">
      <w:pPr>
        <w:rPr>
          <w:rFonts w:ascii="Verdana" w:eastAsia="Times New Roman" w:hAnsi="Verdana" w:cstheme="minorHAnsi"/>
          <w:b/>
          <w:bCs/>
          <w:sz w:val="18"/>
          <w:szCs w:val="18"/>
        </w:rPr>
      </w:pPr>
      <w:r w:rsidRPr="00FF4F3A">
        <w:rPr>
          <w:rFonts w:ascii="Verdana" w:hAnsi="Verdana"/>
          <w:b/>
          <w:bCs/>
          <w:sz w:val="18"/>
          <w:szCs w:val="18"/>
        </w:rPr>
        <w:lastRenderedPageBreak/>
        <w:t>IX. Assessment criteria relating to the applicant</w:t>
      </w:r>
    </w:p>
    <w:p w14:paraId="6308B629" w14:textId="77777777" w:rsidR="00867EF7" w:rsidRPr="00FF4F3A" w:rsidRDefault="00867EF7" w:rsidP="00867EF7">
      <w:pPr>
        <w:pStyle w:val="Lijstalinea"/>
        <w:numPr>
          <w:ilvl w:val="0"/>
          <w:numId w:val="18"/>
        </w:numPr>
        <w:shd w:val="clear" w:color="auto" w:fill="FFFFFF"/>
        <w:spacing w:after="120" w:line="240" w:lineRule="auto"/>
        <w:ind w:left="357" w:hanging="357"/>
        <w:contextualSpacing w:val="0"/>
        <w:rPr>
          <w:rFonts w:ascii="Verdana" w:eastAsia="Times New Roman" w:hAnsi="Verdana" w:cstheme="minorHAnsi"/>
          <w:sz w:val="18"/>
          <w:szCs w:val="18"/>
        </w:rPr>
      </w:pPr>
      <w:r w:rsidRPr="00FF4F3A">
        <w:rPr>
          <w:rFonts w:ascii="Verdana" w:hAnsi="Verdana"/>
          <w:sz w:val="18"/>
          <w:szCs w:val="18"/>
        </w:rPr>
        <w:t>The extent to which the activities for which grant funding is requested align with the applicant's current (when the application is submitted) core activities and strategy.</w:t>
      </w:r>
    </w:p>
    <w:p w14:paraId="604128F2" w14:textId="77777777" w:rsidR="00867EF7" w:rsidRPr="00FF4F3A" w:rsidRDefault="00867EF7" w:rsidP="00867EF7">
      <w:pPr>
        <w:pStyle w:val="Lijstalinea"/>
        <w:numPr>
          <w:ilvl w:val="0"/>
          <w:numId w:val="18"/>
        </w:numPr>
        <w:shd w:val="clear" w:color="auto" w:fill="FFFFFF"/>
        <w:spacing w:after="120" w:line="240" w:lineRule="auto"/>
        <w:ind w:left="357" w:hanging="357"/>
        <w:contextualSpacing w:val="0"/>
        <w:rPr>
          <w:rFonts w:ascii="Verdana" w:eastAsia="Times New Roman" w:hAnsi="Verdana" w:cstheme="minorHAnsi"/>
          <w:sz w:val="18"/>
          <w:szCs w:val="18"/>
        </w:rPr>
      </w:pPr>
      <w:r w:rsidRPr="00FF4F3A">
        <w:rPr>
          <w:rFonts w:ascii="Verdana" w:hAnsi="Verdana"/>
          <w:sz w:val="18"/>
          <w:szCs w:val="18"/>
        </w:rPr>
        <w:t xml:space="preserve">The extent to which the applicant is a leading player, either in its own right or by virtue of the partners it works with, in the field in which it operates. </w:t>
      </w:r>
    </w:p>
    <w:p w14:paraId="3ECCB4E4" w14:textId="77777777" w:rsidR="00867EF7" w:rsidRPr="00FF4F3A" w:rsidRDefault="00867EF7" w:rsidP="00867EF7">
      <w:pPr>
        <w:pStyle w:val="Lijstalinea"/>
        <w:numPr>
          <w:ilvl w:val="0"/>
          <w:numId w:val="18"/>
        </w:numPr>
        <w:shd w:val="clear" w:color="auto" w:fill="FFFFFF"/>
        <w:spacing w:after="120" w:line="240" w:lineRule="auto"/>
        <w:ind w:left="357" w:hanging="357"/>
        <w:contextualSpacing w:val="0"/>
        <w:rPr>
          <w:rFonts w:ascii="Verdana" w:eastAsia="Times New Roman" w:hAnsi="Verdana" w:cstheme="minorHAnsi"/>
          <w:sz w:val="18"/>
          <w:szCs w:val="18"/>
        </w:rPr>
      </w:pPr>
      <w:r w:rsidRPr="00FF4F3A">
        <w:rPr>
          <w:rFonts w:ascii="Verdana" w:hAnsi="Verdana"/>
          <w:sz w:val="18"/>
          <w:szCs w:val="18"/>
        </w:rPr>
        <w:t>The extent to which the applicant works to reduce donor dependency in the development of products to promote sexual and reproductive health and/or products to prevent and combat poverty-related diseases and conditions and/or products to prevent and combat new and recurring epidemics in LICs and MICs.</w:t>
      </w:r>
    </w:p>
    <w:p w14:paraId="4E4454A9" w14:textId="77777777" w:rsidR="00867EF7" w:rsidRPr="00FF4F3A" w:rsidRDefault="00867EF7" w:rsidP="00867EF7">
      <w:pPr>
        <w:pStyle w:val="Lijstalinea"/>
        <w:numPr>
          <w:ilvl w:val="0"/>
          <w:numId w:val="18"/>
        </w:numPr>
        <w:shd w:val="clear" w:color="auto" w:fill="FFFFFF"/>
        <w:spacing w:after="120" w:line="240" w:lineRule="auto"/>
        <w:ind w:left="357" w:hanging="357"/>
        <w:contextualSpacing w:val="0"/>
        <w:rPr>
          <w:rFonts w:ascii="Verdana" w:eastAsia="Times New Roman" w:hAnsi="Verdana" w:cstheme="minorHAnsi"/>
          <w:sz w:val="18"/>
          <w:szCs w:val="18"/>
        </w:rPr>
      </w:pPr>
      <w:r w:rsidRPr="00FF4F3A">
        <w:rPr>
          <w:rFonts w:ascii="Verdana" w:hAnsi="Verdana"/>
          <w:sz w:val="18"/>
          <w:szCs w:val="18"/>
        </w:rPr>
        <w:t>The extent to which the applicant, within its total portfolio, focuses on the needs and wishes of its target group(s) in LICs and MICs.</w:t>
      </w:r>
    </w:p>
    <w:p w14:paraId="2E70BC53" w14:textId="77777777" w:rsidR="00867EF7" w:rsidRPr="00FF4F3A" w:rsidRDefault="00867EF7" w:rsidP="00867EF7">
      <w:pPr>
        <w:pStyle w:val="Lijstalinea"/>
        <w:numPr>
          <w:ilvl w:val="0"/>
          <w:numId w:val="18"/>
        </w:numPr>
        <w:shd w:val="clear" w:color="auto" w:fill="FFFFFF"/>
        <w:spacing w:after="120" w:line="240" w:lineRule="auto"/>
        <w:ind w:left="357" w:hanging="357"/>
        <w:contextualSpacing w:val="0"/>
        <w:rPr>
          <w:rFonts w:ascii="Verdana" w:eastAsia="Times New Roman" w:hAnsi="Verdana" w:cstheme="minorHAnsi"/>
          <w:sz w:val="18"/>
          <w:szCs w:val="18"/>
        </w:rPr>
      </w:pPr>
      <w:r w:rsidRPr="00FF4F3A">
        <w:rPr>
          <w:rFonts w:ascii="Verdana" w:hAnsi="Verdana"/>
          <w:sz w:val="18"/>
          <w:szCs w:val="18"/>
        </w:rPr>
        <w:t>The extent to which the applicant, within its total portfolio, works to promote the affordability and accessibility of the (final) products for its target group(s) in LICs and MICs.</w:t>
      </w:r>
    </w:p>
    <w:p w14:paraId="35F58954" w14:textId="77777777" w:rsidR="00867EF7" w:rsidRPr="00FF4F3A" w:rsidRDefault="00867EF7" w:rsidP="00867EF7">
      <w:pPr>
        <w:pStyle w:val="Lijstalinea"/>
        <w:numPr>
          <w:ilvl w:val="0"/>
          <w:numId w:val="18"/>
        </w:numPr>
        <w:shd w:val="clear" w:color="auto" w:fill="FFFFFF"/>
        <w:spacing w:after="120" w:line="240" w:lineRule="auto"/>
        <w:ind w:left="357" w:hanging="357"/>
        <w:contextualSpacing w:val="0"/>
        <w:rPr>
          <w:rFonts w:ascii="Verdana" w:eastAsia="Times New Roman" w:hAnsi="Verdana" w:cstheme="minorHAnsi"/>
          <w:sz w:val="18"/>
          <w:szCs w:val="18"/>
        </w:rPr>
      </w:pPr>
      <w:r w:rsidRPr="00FF4F3A">
        <w:rPr>
          <w:rFonts w:ascii="Verdana" w:hAnsi="Verdana"/>
          <w:sz w:val="18"/>
          <w:szCs w:val="18"/>
        </w:rPr>
        <w:t>The extent to which the applicant plays an active role in catalysing investment and policy with regard to the development and production</w:t>
      </w:r>
      <w:r>
        <w:rPr>
          <w:rFonts w:ascii="Verdana" w:hAnsi="Verdana"/>
          <w:sz w:val="18"/>
          <w:szCs w:val="18"/>
        </w:rPr>
        <w:t xml:space="preserve"> </w:t>
      </w:r>
      <w:r w:rsidRPr="00FF4F3A">
        <w:rPr>
          <w:rFonts w:ascii="Verdana" w:hAnsi="Verdana"/>
          <w:sz w:val="18"/>
          <w:szCs w:val="18"/>
        </w:rPr>
        <w:t>of products in the LICs and MICs where the target groups are situated</w:t>
      </w:r>
      <w:r>
        <w:rPr>
          <w:rFonts w:ascii="Verdana" w:hAnsi="Verdana"/>
          <w:sz w:val="18"/>
          <w:szCs w:val="18"/>
        </w:rPr>
        <w:t xml:space="preserve">, </w:t>
      </w:r>
      <w:r w:rsidRPr="00FF4F3A">
        <w:rPr>
          <w:rFonts w:ascii="Verdana" w:hAnsi="Verdana"/>
          <w:sz w:val="18"/>
          <w:szCs w:val="18"/>
        </w:rPr>
        <w:t>by public and private organisations from LICs, MICs</w:t>
      </w:r>
      <w:r>
        <w:rPr>
          <w:rFonts w:ascii="Verdana" w:hAnsi="Verdana"/>
          <w:sz w:val="18"/>
          <w:szCs w:val="18"/>
        </w:rPr>
        <w:t xml:space="preserve"> </w:t>
      </w:r>
      <w:r w:rsidRPr="00FF4F3A">
        <w:rPr>
          <w:rFonts w:ascii="Verdana" w:hAnsi="Verdana"/>
          <w:sz w:val="18"/>
          <w:szCs w:val="18"/>
        </w:rPr>
        <w:t xml:space="preserve">and HICs, to promote sexual and reproductive health and/or prevent and combat poverty-related diseases and conditions and/or prevent and combat new and recurring epidemics in LICs and MICs. </w:t>
      </w:r>
    </w:p>
    <w:p w14:paraId="27A238CE" w14:textId="77777777" w:rsidR="00867EF7" w:rsidRPr="00FF4F3A" w:rsidRDefault="00867EF7" w:rsidP="00867EF7">
      <w:pPr>
        <w:pStyle w:val="Lijstalinea"/>
        <w:numPr>
          <w:ilvl w:val="0"/>
          <w:numId w:val="18"/>
        </w:numPr>
        <w:shd w:val="clear" w:color="auto" w:fill="FFFFFF"/>
        <w:spacing w:after="120" w:line="240" w:lineRule="auto"/>
        <w:ind w:left="357" w:hanging="357"/>
        <w:contextualSpacing w:val="0"/>
        <w:rPr>
          <w:rFonts w:ascii="Verdana" w:eastAsia="Times New Roman" w:hAnsi="Verdana" w:cstheme="minorHAnsi"/>
          <w:sz w:val="18"/>
          <w:szCs w:val="18"/>
        </w:rPr>
      </w:pPr>
      <w:r w:rsidRPr="00FF4F3A">
        <w:rPr>
          <w:rFonts w:ascii="Verdana" w:hAnsi="Verdana"/>
          <w:sz w:val="18"/>
          <w:szCs w:val="18"/>
        </w:rPr>
        <w:t xml:space="preserve">The extent to which the applicant works to bring about mutual capacity strengthening for the purpose of the development and production of products as referred to in criterion IX.3 in the LICs and MICs where the target groups are situated. </w:t>
      </w:r>
    </w:p>
    <w:p w14:paraId="1569EFC9" w14:textId="77777777" w:rsidR="00867EF7" w:rsidRPr="00FF4F3A" w:rsidRDefault="00867EF7" w:rsidP="00867EF7">
      <w:pPr>
        <w:pStyle w:val="Lijstalinea"/>
        <w:numPr>
          <w:ilvl w:val="0"/>
          <w:numId w:val="18"/>
        </w:numPr>
        <w:shd w:val="clear" w:color="auto" w:fill="FFFFFF"/>
        <w:spacing w:after="120" w:line="240" w:lineRule="auto"/>
        <w:ind w:left="357" w:hanging="357"/>
        <w:contextualSpacing w:val="0"/>
        <w:rPr>
          <w:rFonts w:ascii="Verdana" w:eastAsia="Times New Roman" w:hAnsi="Verdana" w:cstheme="minorHAnsi"/>
          <w:sz w:val="18"/>
          <w:szCs w:val="18"/>
        </w:rPr>
      </w:pPr>
      <w:r w:rsidRPr="00FF4F3A">
        <w:rPr>
          <w:rFonts w:ascii="Verdana" w:hAnsi="Verdana"/>
          <w:sz w:val="18"/>
          <w:szCs w:val="18"/>
        </w:rPr>
        <w:t>The extent to which the applicant guarantees cooperation on an equal footing</w:t>
      </w:r>
      <w:r w:rsidRPr="00FF4F3A">
        <w:rPr>
          <w:rStyle w:val="Voetnootmarkering"/>
          <w:rFonts w:ascii="Verdana" w:eastAsia="Times New Roman" w:hAnsi="Verdana" w:cstheme="minorHAnsi"/>
          <w:sz w:val="18"/>
          <w:szCs w:val="18"/>
          <w:lang w:eastAsia="nl-NL"/>
        </w:rPr>
        <w:footnoteReference w:id="1"/>
      </w:r>
      <w:r w:rsidRPr="00FF4F3A">
        <w:rPr>
          <w:rFonts w:ascii="Verdana" w:hAnsi="Verdana"/>
          <w:sz w:val="18"/>
          <w:szCs w:val="18"/>
        </w:rPr>
        <w:t xml:space="preserve"> between and with organisations from LICs, MICs and HICs that work with the applicant.</w:t>
      </w:r>
      <w:r w:rsidRPr="00FF4F3A">
        <w:t xml:space="preserve"> </w:t>
      </w:r>
    </w:p>
    <w:p w14:paraId="1C20A74C" w14:textId="77777777" w:rsidR="00867EF7" w:rsidRPr="00FF4F3A" w:rsidRDefault="00867EF7" w:rsidP="00867EF7">
      <w:pPr>
        <w:pStyle w:val="Lijstalinea"/>
        <w:numPr>
          <w:ilvl w:val="0"/>
          <w:numId w:val="18"/>
        </w:numPr>
        <w:shd w:val="clear" w:color="auto" w:fill="FFFFFF"/>
        <w:spacing w:after="120" w:line="240" w:lineRule="auto"/>
        <w:ind w:left="357" w:hanging="357"/>
        <w:contextualSpacing w:val="0"/>
        <w:rPr>
          <w:rFonts w:ascii="Verdana" w:eastAsia="Times New Roman" w:hAnsi="Verdana" w:cstheme="minorHAnsi"/>
          <w:sz w:val="18"/>
          <w:szCs w:val="18"/>
        </w:rPr>
      </w:pPr>
      <w:r w:rsidRPr="00FF4F3A">
        <w:rPr>
          <w:rFonts w:ascii="Verdana" w:hAnsi="Verdana"/>
          <w:sz w:val="18"/>
          <w:szCs w:val="18"/>
        </w:rPr>
        <w:t>The extent to which the applicant adheres to professional management and governance principles.</w:t>
      </w:r>
    </w:p>
    <w:p w14:paraId="2BBEC7B5" w14:textId="77777777" w:rsidR="00867EF7" w:rsidRPr="00FF4F3A" w:rsidRDefault="00867EF7" w:rsidP="00867EF7">
      <w:pPr>
        <w:pStyle w:val="Lijstalinea"/>
        <w:numPr>
          <w:ilvl w:val="0"/>
          <w:numId w:val="18"/>
        </w:numPr>
        <w:shd w:val="clear" w:color="auto" w:fill="FFFFFF"/>
        <w:spacing w:after="120" w:line="240" w:lineRule="auto"/>
        <w:ind w:left="357" w:hanging="357"/>
        <w:contextualSpacing w:val="0"/>
        <w:rPr>
          <w:rFonts w:ascii="Verdana" w:eastAsia="Times New Roman" w:hAnsi="Verdana" w:cstheme="minorHAnsi"/>
          <w:sz w:val="18"/>
          <w:szCs w:val="18"/>
        </w:rPr>
      </w:pPr>
      <w:r w:rsidRPr="00FF4F3A">
        <w:rPr>
          <w:rFonts w:ascii="Verdana" w:hAnsi="Verdana"/>
          <w:sz w:val="18"/>
          <w:szCs w:val="18"/>
        </w:rPr>
        <w:t>The extent to which the applicant has adequate operational and portfolio management focused on results.</w:t>
      </w:r>
    </w:p>
    <w:p w14:paraId="51002DF7" w14:textId="77777777" w:rsidR="00867EF7" w:rsidRPr="00FF4F3A" w:rsidRDefault="00867EF7" w:rsidP="00867EF7">
      <w:pPr>
        <w:pStyle w:val="Lijstalinea"/>
        <w:numPr>
          <w:ilvl w:val="0"/>
          <w:numId w:val="18"/>
        </w:numPr>
        <w:shd w:val="clear" w:color="auto" w:fill="FFFFFF"/>
        <w:spacing w:after="120" w:line="240" w:lineRule="auto"/>
        <w:ind w:left="357" w:hanging="357"/>
        <w:contextualSpacing w:val="0"/>
        <w:rPr>
          <w:rFonts w:ascii="Verdana" w:eastAsia="Times New Roman" w:hAnsi="Verdana" w:cstheme="minorHAnsi"/>
          <w:sz w:val="18"/>
          <w:szCs w:val="18"/>
        </w:rPr>
      </w:pPr>
      <w:r w:rsidRPr="00FF4F3A">
        <w:rPr>
          <w:rFonts w:ascii="Verdana" w:hAnsi="Verdana"/>
          <w:sz w:val="18"/>
          <w:szCs w:val="18"/>
        </w:rPr>
        <w:t>The extent to which the applicant maintains diversified product portfolios.</w:t>
      </w:r>
      <w:bookmarkStart w:id="1" w:name="d16e571"/>
      <w:bookmarkEnd w:id="1"/>
    </w:p>
    <w:p w14:paraId="0EF033F3" w14:textId="4EC3B759" w:rsidR="00867EF7" w:rsidRDefault="00867EF7" w:rsidP="00867EF7">
      <w:pPr>
        <w:pStyle w:val="Lijstalinea"/>
        <w:numPr>
          <w:ilvl w:val="0"/>
          <w:numId w:val="18"/>
        </w:numPr>
        <w:shd w:val="clear" w:color="auto" w:fill="FFFFFF"/>
        <w:spacing w:after="120" w:line="240" w:lineRule="auto"/>
        <w:ind w:left="357" w:hanging="357"/>
        <w:contextualSpacing w:val="0"/>
        <w:rPr>
          <w:rFonts w:ascii="Verdana" w:hAnsi="Verdana"/>
          <w:sz w:val="18"/>
          <w:szCs w:val="18"/>
        </w:rPr>
      </w:pPr>
      <w:r w:rsidRPr="00FF4F3A">
        <w:rPr>
          <w:rFonts w:ascii="Verdana" w:hAnsi="Verdana"/>
          <w:sz w:val="18"/>
          <w:szCs w:val="18"/>
        </w:rPr>
        <w:t>The extent to which the applicant has satisfactory risk management in place, effectively identifying the possible risks of cooperation with various organisations (satisfactory risk analysis), including satisfactory monitoring and mitigation of those risks.</w:t>
      </w:r>
      <w:r w:rsidRPr="00FF4F3A">
        <w:rPr>
          <w:rStyle w:val="Voetnootmarkering"/>
          <w:rFonts w:ascii="Verdana" w:eastAsia="Times New Roman" w:hAnsi="Verdana" w:cstheme="minorHAnsi"/>
          <w:sz w:val="18"/>
          <w:szCs w:val="18"/>
          <w:lang w:eastAsia="nl-NL"/>
        </w:rPr>
        <w:footnoteReference w:id="2"/>
      </w:r>
      <w:r w:rsidRPr="00FF4F3A">
        <w:rPr>
          <w:rFonts w:ascii="Verdana" w:hAnsi="Verdana"/>
          <w:sz w:val="18"/>
          <w:szCs w:val="18"/>
        </w:rPr>
        <w:t xml:space="preserve"> </w:t>
      </w:r>
    </w:p>
    <w:p w14:paraId="42A854A3" w14:textId="214CFFFA" w:rsidR="00867EF7" w:rsidRPr="00867EF7" w:rsidRDefault="00867EF7" w:rsidP="00867EF7">
      <w:pPr>
        <w:spacing w:after="0" w:line="240" w:lineRule="auto"/>
        <w:rPr>
          <w:rFonts w:ascii="Verdana" w:hAnsi="Verdana"/>
          <w:sz w:val="18"/>
          <w:szCs w:val="18"/>
        </w:rPr>
      </w:pPr>
      <w:r>
        <w:rPr>
          <w:rFonts w:ascii="Verdana" w:hAnsi="Verdana"/>
          <w:sz w:val="18"/>
          <w:szCs w:val="18"/>
        </w:rPr>
        <w:br w:type="page"/>
      </w:r>
    </w:p>
    <w:p w14:paraId="3005B53D" w14:textId="77777777" w:rsidR="00867EF7" w:rsidRPr="00FF4F3A" w:rsidRDefault="00867EF7" w:rsidP="00867EF7">
      <w:pPr>
        <w:shd w:val="clear" w:color="auto" w:fill="FFFFFF"/>
        <w:spacing w:after="120" w:line="240" w:lineRule="auto"/>
        <w:outlineLvl w:val="2"/>
        <w:rPr>
          <w:rFonts w:ascii="Verdana" w:eastAsia="Times New Roman" w:hAnsi="Verdana" w:cstheme="minorHAnsi"/>
          <w:b/>
          <w:bCs/>
          <w:sz w:val="18"/>
          <w:szCs w:val="18"/>
        </w:rPr>
      </w:pPr>
      <w:bookmarkStart w:id="2" w:name="d16e596"/>
      <w:bookmarkEnd w:id="2"/>
      <w:r w:rsidRPr="00FF4F3A">
        <w:rPr>
          <w:rFonts w:ascii="Verdana" w:hAnsi="Verdana"/>
          <w:b/>
          <w:bCs/>
          <w:sz w:val="18"/>
          <w:szCs w:val="18"/>
        </w:rPr>
        <w:lastRenderedPageBreak/>
        <w:t>X. Assessment criteria relating to the application</w:t>
      </w:r>
    </w:p>
    <w:p w14:paraId="6606B555" w14:textId="77777777" w:rsidR="00867EF7" w:rsidRPr="00FF4F3A" w:rsidRDefault="00867EF7" w:rsidP="00867EF7">
      <w:pPr>
        <w:pStyle w:val="Lijstalinea"/>
        <w:numPr>
          <w:ilvl w:val="0"/>
          <w:numId w:val="19"/>
        </w:numPr>
        <w:shd w:val="clear" w:color="auto" w:fill="FFFFFF"/>
        <w:spacing w:after="120" w:line="240" w:lineRule="auto"/>
        <w:contextualSpacing w:val="0"/>
        <w:rPr>
          <w:rFonts w:ascii="Verdana" w:eastAsia="Times New Roman" w:hAnsi="Verdana" w:cstheme="minorHAnsi"/>
          <w:sz w:val="18"/>
          <w:szCs w:val="18"/>
        </w:rPr>
      </w:pPr>
      <w:r w:rsidRPr="00FF4F3A">
        <w:rPr>
          <w:rFonts w:ascii="Verdana" w:hAnsi="Verdana"/>
          <w:sz w:val="18"/>
          <w:szCs w:val="18"/>
        </w:rPr>
        <w:t>The extent to which the Netherlands’ public investment (the grant requested) adds value</w:t>
      </w:r>
      <w:r>
        <w:rPr>
          <w:rFonts w:ascii="Verdana" w:hAnsi="Verdana"/>
          <w:sz w:val="18"/>
          <w:szCs w:val="18"/>
        </w:rPr>
        <w:t>,</w:t>
      </w:r>
      <w:r w:rsidRPr="00FF4F3A">
        <w:rPr>
          <w:rFonts w:ascii="Verdana" w:hAnsi="Verdana"/>
          <w:sz w:val="18"/>
          <w:szCs w:val="18"/>
        </w:rPr>
        <w:t xml:space="preserve"> at the envisaged stage(s) of the product development cycle.</w:t>
      </w:r>
    </w:p>
    <w:p w14:paraId="2A67655B" w14:textId="77777777" w:rsidR="00867EF7" w:rsidRPr="00FF4F3A" w:rsidRDefault="00867EF7" w:rsidP="00867EF7">
      <w:pPr>
        <w:pStyle w:val="Lijstalinea"/>
        <w:numPr>
          <w:ilvl w:val="0"/>
          <w:numId w:val="19"/>
        </w:numPr>
        <w:shd w:val="clear" w:color="auto" w:fill="FFFFFF"/>
        <w:spacing w:after="120" w:line="240" w:lineRule="auto"/>
        <w:contextualSpacing w:val="0"/>
        <w:rPr>
          <w:rFonts w:ascii="Verdana" w:eastAsia="Times New Roman" w:hAnsi="Verdana" w:cstheme="minorHAnsi"/>
          <w:sz w:val="18"/>
          <w:szCs w:val="18"/>
        </w:rPr>
      </w:pPr>
      <w:r w:rsidRPr="00FF4F3A">
        <w:rPr>
          <w:rFonts w:ascii="Verdana" w:hAnsi="Verdana"/>
          <w:sz w:val="18"/>
          <w:szCs w:val="18"/>
        </w:rPr>
        <w:t xml:space="preserve">The extent to which the products that are the focus of the application </w:t>
      </w:r>
      <w:r>
        <w:rPr>
          <w:rFonts w:ascii="Verdana" w:hAnsi="Verdana"/>
          <w:sz w:val="18"/>
          <w:szCs w:val="18"/>
        </w:rPr>
        <w:t xml:space="preserve">(will) </w:t>
      </w:r>
      <w:r w:rsidRPr="00FF4F3A">
        <w:rPr>
          <w:rFonts w:ascii="Verdana" w:hAnsi="Verdana"/>
          <w:sz w:val="18"/>
          <w:szCs w:val="18"/>
        </w:rPr>
        <w:t>correspond to the needs and wishes of in particular women and girls of reproductive age (15-49) in LICs and MICs, including women and girls in the most vulnerable</w:t>
      </w:r>
      <w:r>
        <w:rPr>
          <w:rFonts w:ascii="Verdana" w:hAnsi="Verdana"/>
          <w:sz w:val="18"/>
          <w:szCs w:val="18"/>
        </w:rPr>
        <w:t xml:space="preserve"> situations</w:t>
      </w:r>
      <w:r w:rsidRPr="00FF4F3A">
        <w:rPr>
          <w:rFonts w:ascii="Verdana" w:hAnsi="Verdana"/>
          <w:sz w:val="18"/>
          <w:szCs w:val="18"/>
        </w:rPr>
        <w:t>.</w:t>
      </w:r>
      <w:r w:rsidRPr="00FF4F3A">
        <w:rPr>
          <w:rStyle w:val="Voetnootmarkering"/>
          <w:rFonts w:ascii="Verdana" w:eastAsia="Times New Roman" w:hAnsi="Verdana" w:cstheme="minorHAnsi"/>
          <w:sz w:val="18"/>
          <w:szCs w:val="18"/>
          <w:lang w:eastAsia="nl-NL"/>
        </w:rPr>
        <w:footnoteReference w:id="3"/>
      </w:r>
      <w:r w:rsidRPr="00FF4F3A">
        <w:rPr>
          <w:rFonts w:ascii="Verdana" w:hAnsi="Verdana"/>
          <w:sz w:val="18"/>
          <w:szCs w:val="18"/>
        </w:rPr>
        <w:t xml:space="preserve"> </w:t>
      </w:r>
    </w:p>
    <w:p w14:paraId="5BA827FA" w14:textId="77777777" w:rsidR="00867EF7" w:rsidRPr="00FF4F3A" w:rsidRDefault="00867EF7" w:rsidP="00867EF7">
      <w:pPr>
        <w:pStyle w:val="Lijstalinea"/>
        <w:numPr>
          <w:ilvl w:val="0"/>
          <w:numId w:val="19"/>
        </w:numPr>
        <w:shd w:val="clear" w:color="auto" w:fill="FFFFFF"/>
        <w:spacing w:after="120" w:line="240" w:lineRule="auto"/>
        <w:contextualSpacing w:val="0"/>
        <w:rPr>
          <w:rFonts w:ascii="Verdana" w:eastAsia="Times New Roman" w:hAnsi="Verdana" w:cstheme="minorHAnsi"/>
          <w:sz w:val="18"/>
          <w:szCs w:val="18"/>
        </w:rPr>
      </w:pPr>
      <w:r w:rsidRPr="00FF4F3A">
        <w:rPr>
          <w:rFonts w:ascii="Verdana" w:hAnsi="Verdana"/>
          <w:sz w:val="18"/>
          <w:szCs w:val="18"/>
        </w:rPr>
        <w:t>The extent to which all relevant activities for which grant funding is requested are dedicated to promoting the affordability and accessibility of the products that are the focus of the application, in particular for women and girls of reproductive age (15-49) in LICs and MICs, including women and girls in the most vulnerable circumstances.</w:t>
      </w:r>
    </w:p>
    <w:p w14:paraId="5D128C71" w14:textId="77777777" w:rsidR="00867EF7" w:rsidRPr="00FF4F3A" w:rsidRDefault="00867EF7" w:rsidP="00867EF7">
      <w:pPr>
        <w:pStyle w:val="Lijstalinea"/>
        <w:numPr>
          <w:ilvl w:val="0"/>
          <w:numId w:val="19"/>
        </w:numPr>
        <w:shd w:val="clear" w:color="auto" w:fill="FFFFFF"/>
        <w:spacing w:after="120" w:line="240" w:lineRule="auto"/>
        <w:contextualSpacing w:val="0"/>
        <w:rPr>
          <w:rFonts w:ascii="Verdana" w:eastAsia="Times New Roman" w:hAnsi="Verdana" w:cstheme="minorHAnsi"/>
          <w:sz w:val="18"/>
          <w:szCs w:val="18"/>
        </w:rPr>
      </w:pPr>
      <w:r w:rsidRPr="00FF4F3A">
        <w:rPr>
          <w:rFonts w:ascii="Verdana" w:hAnsi="Verdana"/>
          <w:sz w:val="18"/>
          <w:szCs w:val="18"/>
        </w:rPr>
        <w:t>The extent to which the activities for which grant funding is requested help catalyse investment and policy with regard to the development and production</w:t>
      </w:r>
      <w:r>
        <w:rPr>
          <w:rFonts w:ascii="Verdana" w:hAnsi="Verdana"/>
          <w:sz w:val="18"/>
          <w:szCs w:val="18"/>
        </w:rPr>
        <w:t xml:space="preserve"> of products</w:t>
      </w:r>
      <w:r w:rsidRPr="00FF4F3A">
        <w:rPr>
          <w:rFonts w:ascii="Verdana" w:hAnsi="Verdana"/>
          <w:sz w:val="18"/>
          <w:szCs w:val="18"/>
        </w:rPr>
        <w:t xml:space="preserve"> in the LICs and MICs where the target groups are situated</w:t>
      </w:r>
      <w:r>
        <w:rPr>
          <w:rFonts w:ascii="Verdana" w:hAnsi="Verdana"/>
          <w:sz w:val="18"/>
          <w:szCs w:val="18"/>
        </w:rPr>
        <w:t>,</w:t>
      </w:r>
      <w:r w:rsidRPr="00FF4F3A">
        <w:rPr>
          <w:rFonts w:ascii="Verdana" w:hAnsi="Verdana"/>
          <w:sz w:val="18"/>
          <w:szCs w:val="18"/>
        </w:rPr>
        <w:t xml:space="preserve"> by public and private organisations from LICs, MICs and HICs, to promote sexual and reproductive health and/or prevent and combat poverty-related diseases and conditions and/or prevent and combat new and recurring epidemics in LICs and MICs. </w:t>
      </w:r>
    </w:p>
    <w:p w14:paraId="2BA2B719" w14:textId="77777777" w:rsidR="00867EF7" w:rsidRPr="00FF4F3A" w:rsidRDefault="00867EF7" w:rsidP="00867EF7">
      <w:pPr>
        <w:pStyle w:val="Lijstalinea"/>
        <w:numPr>
          <w:ilvl w:val="0"/>
          <w:numId w:val="19"/>
        </w:numPr>
        <w:shd w:val="clear" w:color="auto" w:fill="FFFFFF"/>
        <w:spacing w:after="120" w:line="240" w:lineRule="auto"/>
        <w:contextualSpacing w:val="0"/>
        <w:rPr>
          <w:rFonts w:ascii="Verdana" w:eastAsia="Times New Roman" w:hAnsi="Verdana" w:cstheme="minorHAnsi"/>
          <w:sz w:val="18"/>
          <w:szCs w:val="18"/>
        </w:rPr>
      </w:pPr>
      <w:r w:rsidRPr="00FF4F3A">
        <w:rPr>
          <w:rFonts w:ascii="Verdana" w:hAnsi="Verdana"/>
          <w:sz w:val="18"/>
          <w:szCs w:val="18"/>
        </w:rPr>
        <w:t>The extent to which clear agreements have been made with the partners that will cooperate with the PDP on the implementation of the activities, the allocation of roles and tasks, the results to be achieved, and the sharing of resources and knowledge, with a view to promoting the affordability and accessibility of the products that are the focus of the application.</w:t>
      </w:r>
    </w:p>
    <w:p w14:paraId="1C571114" w14:textId="77777777" w:rsidR="00867EF7" w:rsidRPr="00FF4F3A" w:rsidRDefault="00867EF7" w:rsidP="00867EF7">
      <w:pPr>
        <w:pStyle w:val="Lijstalinea"/>
        <w:numPr>
          <w:ilvl w:val="0"/>
          <w:numId w:val="19"/>
        </w:numPr>
        <w:shd w:val="clear" w:color="auto" w:fill="FFFFFF"/>
        <w:spacing w:after="120" w:line="240" w:lineRule="auto"/>
        <w:contextualSpacing w:val="0"/>
        <w:rPr>
          <w:rFonts w:ascii="Verdana" w:eastAsia="Times New Roman" w:hAnsi="Verdana" w:cstheme="minorHAnsi"/>
          <w:sz w:val="18"/>
          <w:szCs w:val="18"/>
        </w:rPr>
      </w:pPr>
      <w:r w:rsidRPr="00FF4F3A">
        <w:rPr>
          <w:rFonts w:ascii="Verdana" w:hAnsi="Verdana"/>
          <w:sz w:val="18"/>
          <w:szCs w:val="18"/>
        </w:rPr>
        <w:t>The extent to which the activities for which grant funding is requested help to bring about mutual capacity strengthening for the purpose of the development and production of products as referred to in criterion IX.3 in the LICs and MICs where the target groups are situated.</w:t>
      </w:r>
    </w:p>
    <w:p w14:paraId="5336DB52" w14:textId="77777777" w:rsidR="00867EF7" w:rsidRPr="00FF4F3A" w:rsidRDefault="00867EF7" w:rsidP="00867EF7">
      <w:pPr>
        <w:pStyle w:val="Lijstalinea"/>
        <w:numPr>
          <w:ilvl w:val="0"/>
          <w:numId w:val="19"/>
        </w:numPr>
        <w:shd w:val="clear" w:color="auto" w:fill="FFFFFF"/>
        <w:spacing w:after="120" w:line="240" w:lineRule="auto"/>
        <w:contextualSpacing w:val="0"/>
        <w:rPr>
          <w:rFonts w:ascii="Verdana" w:eastAsia="Times New Roman" w:hAnsi="Verdana" w:cstheme="minorHAnsi"/>
          <w:sz w:val="18"/>
          <w:szCs w:val="18"/>
        </w:rPr>
      </w:pPr>
      <w:r w:rsidRPr="00FF4F3A">
        <w:rPr>
          <w:rFonts w:ascii="Verdana" w:hAnsi="Verdana"/>
          <w:sz w:val="18"/>
          <w:szCs w:val="18"/>
        </w:rPr>
        <w:t xml:space="preserve">The extent to which the activities for which grant funding is requested help to bring about cooperation on an equal footing between and with organisations from LICs, MICs and HICs that work with the applicant. </w:t>
      </w:r>
    </w:p>
    <w:p w14:paraId="7A88B552" w14:textId="77777777" w:rsidR="00867EF7" w:rsidRPr="00FF4F3A" w:rsidRDefault="00867EF7" w:rsidP="00867EF7">
      <w:pPr>
        <w:pStyle w:val="Lijstalinea"/>
        <w:numPr>
          <w:ilvl w:val="0"/>
          <w:numId w:val="19"/>
        </w:numPr>
        <w:shd w:val="clear" w:color="auto" w:fill="FFFFFF"/>
        <w:spacing w:after="120" w:line="240" w:lineRule="auto"/>
        <w:contextualSpacing w:val="0"/>
        <w:rPr>
          <w:rFonts w:ascii="Verdana" w:eastAsia="Times New Roman" w:hAnsi="Verdana" w:cstheme="minorHAnsi"/>
          <w:sz w:val="18"/>
          <w:szCs w:val="18"/>
        </w:rPr>
      </w:pPr>
      <w:r w:rsidRPr="00FF4F3A">
        <w:rPr>
          <w:rFonts w:ascii="Verdana" w:hAnsi="Verdana"/>
          <w:sz w:val="18"/>
          <w:szCs w:val="18"/>
        </w:rPr>
        <w:t>The extent to which (a) the products that are the focus of the application are</w:t>
      </w:r>
      <w:r>
        <w:rPr>
          <w:rFonts w:ascii="Verdana" w:hAnsi="Verdana"/>
          <w:sz w:val="18"/>
          <w:szCs w:val="18"/>
        </w:rPr>
        <w:t>/</w:t>
      </w:r>
      <w:r w:rsidRPr="00FF4F3A">
        <w:rPr>
          <w:rFonts w:ascii="Verdana" w:hAnsi="Verdana"/>
          <w:sz w:val="18"/>
          <w:szCs w:val="18"/>
        </w:rPr>
        <w:t>will be</w:t>
      </w:r>
      <w:r>
        <w:rPr>
          <w:rFonts w:ascii="Verdana" w:hAnsi="Verdana"/>
          <w:sz w:val="18"/>
          <w:szCs w:val="18"/>
        </w:rPr>
        <w:t xml:space="preserve"> </w:t>
      </w:r>
      <w:r w:rsidRPr="00FF4F3A">
        <w:rPr>
          <w:rFonts w:ascii="Verdana" w:hAnsi="Verdana"/>
          <w:sz w:val="18"/>
          <w:szCs w:val="18"/>
        </w:rPr>
        <w:t>usable in practice and (b) the application provides satisfactory insight into potential obstacles and how they will be dealt with.</w:t>
      </w:r>
    </w:p>
    <w:p w14:paraId="69A11781" w14:textId="77777777" w:rsidR="00867EF7" w:rsidRPr="00FF4F3A" w:rsidRDefault="00867EF7" w:rsidP="00867EF7">
      <w:pPr>
        <w:pStyle w:val="Lijstalinea"/>
        <w:numPr>
          <w:ilvl w:val="0"/>
          <w:numId w:val="19"/>
        </w:numPr>
        <w:shd w:val="clear" w:color="auto" w:fill="FFFFFF"/>
        <w:spacing w:after="120" w:line="240" w:lineRule="auto"/>
        <w:contextualSpacing w:val="0"/>
        <w:rPr>
          <w:rFonts w:ascii="Verdana" w:eastAsia="Times New Roman" w:hAnsi="Verdana" w:cstheme="minorHAnsi"/>
          <w:sz w:val="18"/>
          <w:szCs w:val="18"/>
        </w:rPr>
      </w:pPr>
      <w:r w:rsidRPr="00FF4F3A">
        <w:rPr>
          <w:rFonts w:ascii="Verdana" w:hAnsi="Verdana"/>
          <w:sz w:val="18"/>
          <w:szCs w:val="18"/>
        </w:rPr>
        <w:t>The extent to which the activities for which grant funding is requested contribute to gender equality.</w:t>
      </w:r>
    </w:p>
    <w:p w14:paraId="640F8E7F" w14:textId="77777777" w:rsidR="00867EF7" w:rsidRPr="00FF4F3A" w:rsidRDefault="00867EF7" w:rsidP="00867EF7">
      <w:pPr>
        <w:pStyle w:val="Lijstalinea"/>
        <w:numPr>
          <w:ilvl w:val="0"/>
          <w:numId w:val="19"/>
        </w:numPr>
        <w:shd w:val="clear" w:color="auto" w:fill="FFFFFF"/>
        <w:spacing w:after="120" w:line="240" w:lineRule="auto"/>
        <w:contextualSpacing w:val="0"/>
        <w:rPr>
          <w:rFonts w:ascii="Verdana" w:eastAsia="Times New Roman" w:hAnsi="Verdana" w:cstheme="minorHAnsi"/>
          <w:sz w:val="18"/>
          <w:szCs w:val="18"/>
        </w:rPr>
      </w:pPr>
      <w:r w:rsidRPr="00FF4F3A">
        <w:rPr>
          <w:rFonts w:ascii="Verdana" w:hAnsi="Verdana"/>
          <w:sz w:val="18"/>
          <w:szCs w:val="18"/>
        </w:rPr>
        <w:t>The extent to which the activities for which grant funding is requested help to reduce health disparities.</w:t>
      </w:r>
    </w:p>
    <w:p w14:paraId="43DA87C9" w14:textId="77777777" w:rsidR="00867EF7" w:rsidRPr="00FF4F3A" w:rsidRDefault="00867EF7" w:rsidP="00867EF7">
      <w:pPr>
        <w:pStyle w:val="Lijstalinea"/>
        <w:numPr>
          <w:ilvl w:val="0"/>
          <w:numId w:val="19"/>
        </w:numPr>
        <w:shd w:val="clear" w:color="auto" w:fill="FFFFFF"/>
        <w:spacing w:after="120" w:line="240" w:lineRule="auto"/>
        <w:contextualSpacing w:val="0"/>
        <w:rPr>
          <w:rFonts w:ascii="Verdana" w:eastAsia="Times New Roman" w:hAnsi="Verdana" w:cstheme="minorHAnsi"/>
          <w:sz w:val="18"/>
          <w:szCs w:val="18"/>
        </w:rPr>
      </w:pPr>
      <w:r w:rsidRPr="00FF4F3A">
        <w:rPr>
          <w:rFonts w:ascii="Verdana" w:hAnsi="Verdana"/>
          <w:sz w:val="18"/>
          <w:szCs w:val="18"/>
        </w:rPr>
        <w:t>The extent to which the application exhibits a clear internal logic and consistency with regard to objectives, results, activities, resources and value for money.</w:t>
      </w:r>
      <w:r w:rsidRPr="00255EDE">
        <w:rPr>
          <w:rStyle w:val="Voetnootmarkering"/>
          <w:rFonts w:ascii="Verdana" w:eastAsia="Times New Roman" w:hAnsi="Verdana" w:cstheme="minorHAnsi"/>
          <w:iCs/>
          <w:sz w:val="18"/>
          <w:szCs w:val="18"/>
          <w:lang w:eastAsia="nl-NL"/>
        </w:rPr>
        <w:footnoteReference w:id="4"/>
      </w:r>
    </w:p>
    <w:p w14:paraId="31980835" w14:textId="77777777" w:rsidR="00867EF7" w:rsidRPr="00FF4F3A" w:rsidRDefault="00867EF7" w:rsidP="00867EF7">
      <w:pPr>
        <w:pStyle w:val="Lijstalinea"/>
        <w:numPr>
          <w:ilvl w:val="0"/>
          <w:numId w:val="19"/>
        </w:numPr>
        <w:shd w:val="clear" w:color="auto" w:fill="FFFFFF"/>
        <w:spacing w:after="120" w:line="240" w:lineRule="auto"/>
        <w:contextualSpacing w:val="0"/>
        <w:rPr>
          <w:rFonts w:ascii="Verdana" w:eastAsia="Times New Roman" w:hAnsi="Verdana" w:cstheme="minorHAnsi"/>
          <w:sz w:val="18"/>
          <w:szCs w:val="18"/>
        </w:rPr>
      </w:pPr>
      <w:r w:rsidRPr="00FF4F3A">
        <w:rPr>
          <w:rFonts w:ascii="Verdana" w:hAnsi="Verdana"/>
          <w:sz w:val="18"/>
          <w:szCs w:val="18"/>
        </w:rPr>
        <w:t xml:space="preserve">The extent to which the intended results as defined by the applicant are </w:t>
      </w:r>
      <w:r>
        <w:rPr>
          <w:rFonts w:ascii="Verdana" w:hAnsi="Verdana"/>
          <w:sz w:val="18"/>
          <w:szCs w:val="18"/>
        </w:rPr>
        <w:t>S</w:t>
      </w:r>
      <w:r w:rsidRPr="00FF4F3A">
        <w:rPr>
          <w:rFonts w:ascii="Verdana" w:hAnsi="Verdana"/>
          <w:sz w:val="18"/>
          <w:szCs w:val="18"/>
        </w:rPr>
        <w:t xml:space="preserve">pecific, </w:t>
      </w:r>
      <w:r>
        <w:rPr>
          <w:rFonts w:ascii="Verdana" w:hAnsi="Verdana"/>
          <w:sz w:val="18"/>
          <w:szCs w:val="18"/>
        </w:rPr>
        <w:t>M</w:t>
      </w:r>
      <w:r w:rsidRPr="00FF4F3A">
        <w:rPr>
          <w:rFonts w:ascii="Verdana" w:hAnsi="Verdana"/>
          <w:sz w:val="18"/>
          <w:szCs w:val="18"/>
        </w:rPr>
        <w:t xml:space="preserve">easurable, </w:t>
      </w:r>
      <w:r w:rsidRPr="004A1D88">
        <w:rPr>
          <w:rFonts w:ascii="Verdana" w:hAnsi="Verdana"/>
          <w:sz w:val="18"/>
          <w:szCs w:val="18"/>
        </w:rPr>
        <w:t>Achievable</w:t>
      </w:r>
      <w:r w:rsidRPr="00FF4F3A">
        <w:rPr>
          <w:rFonts w:ascii="Verdana" w:hAnsi="Verdana"/>
          <w:sz w:val="18"/>
          <w:szCs w:val="18"/>
        </w:rPr>
        <w:t xml:space="preserve">, </w:t>
      </w:r>
      <w:r>
        <w:rPr>
          <w:rFonts w:ascii="Verdana" w:hAnsi="Verdana"/>
          <w:sz w:val="18"/>
          <w:szCs w:val="18"/>
        </w:rPr>
        <w:t>R</w:t>
      </w:r>
      <w:r w:rsidRPr="00FF4F3A">
        <w:rPr>
          <w:rFonts w:ascii="Verdana" w:hAnsi="Verdana"/>
          <w:sz w:val="18"/>
          <w:szCs w:val="18"/>
        </w:rPr>
        <w:t xml:space="preserve">ealistic and </w:t>
      </w:r>
      <w:r>
        <w:rPr>
          <w:rFonts w:ascii="Verdana" w:hAnsi="Verdana"/>
          <w:sz w:val="18"/>
          <w:szCs w:val="18"/>
        </w:rPr>
        <w:t>T</w:t>
      </w:r>
      <w:r w:rsidRPr="00FF4F3A">
        <w:rPr>
          <w:rFonts w:ascii="Verdana" w:hAnsi="Verdana"/>
          <w:sz w:val="18"/>
          <w:szCs w:val="18"/>
        </w:rPr>
        <w:t>ime-related</w:t>
      </w:r>
      <w:r>
        <w:rPr>
          <w:rFonts w:ascii="Verdana" w:hAnsi="Verdana"/>
          <w:sz w:val="18"/>
          <w:szCs w:val="18"/>
        </w:rPr>
        <w:t xml:space="preserve"> (SMART)</w:t>
      </w:r>
      <w:r w:rsidRPr="00FF4F3A">
        <w:rPr>
          <w:rFonts w:ascii="Verdana" w:hAnsi="Verdana"/>
          <w:sz w:val="18"/>
          <w:szCs w:val="18"/>
        </w:rPr>
        <w:t>.</w:t>
      </w:r>
    </w:p>
    <w:p w14:paraId="307F9918" w14:textId="77777777" w:rsidR="00867EF7" w:rsidRPr="00FF4F3A" w:rsidRDefault="00867EF7" w:rsidP="00867EF7">
      <w:pPr>
        <w:pStyle w:val="Lijstalinea"/>
        <w:numPr>
          <w:ilvl w:val="0"/>
          <w:numId w:val="19"/>
        </w:numPr>
        <w:shd w:val="clear" w:color="auto" w:fill="FFFFFF"/>
        <w:spacing w:after="120" w:line="240" w:lineRule="auto"/>
        <w:contextualSpacing w:val="0"/>
        <w:rPr>
          <w:rFonts w:ascii="Verdana" w:eastAsia="Times New Roman" w:hAnsi="Verdana" w:cstheme="minorHAnsi"/>
          <w:sz w:val="18"/>
          <w:szCs w:val="18"/>
        </w:rPr>
      </w:pPr>
      <w:r w:rsidRPr="00FF4F3A">
        <w:rPr>
          <w:rFonts w:ascii="Verdana" w:hAnsi="Verdana"/>
          <w:sz w:val="18"/>
          <w:szCs w:val="18"/>
        </w:rPr>
        <w:lastRenderedPageBreak/>
        <w:t xml:space="preserve">The extent to which a satisfactory system is in place for </w:t>
      </w:r>
      <w:r>
        <w:rPr>
          <w:rFonts w:ascii="Verdana" w:hAnsi="Verdana"/>
          <w:sz w:val="18"/>
          <w:szCs w:val="18"/>
        </w:rPr>
        <w:t>P</w:t>
      </w:r>
      <w:r w:rsidRPr="00FF4F3A">
        <w:rPr>
          <w:rFonts w:ascii="Verdana" w:hAnsi="Verdana"/>
          <w:sz w:val="18"/>
          <w:szCs w:val="18"/>
        </w:rPr>
        <w:t xml:space="preserve">lanning, </w:t>
      </w:r>
      <w:r>
        <w:rPr>
          <w:rFonts w:ascii="Verdana" w:hAnsi="Verdana"/>
          <w:sz w:val="18"/>
          <w:szCs w:val="18"/>
        </w:rPr>
        <w:t>M</w:t>
      </w:r>
      <w:r w:rsidRPr="00FF4F3A">
        <w:rPr>
          <w:rFonts w:ascii="Verdana" w:hAnsi="Verdana"/>
          <w:sz w:val="18"/>
          <w:szCs w:val="18"/>
        </w:rPr>
        <w:t xml:space="preserve">onitoring, </w:t>
      </w:r>
      <w:r>
        <w:rPr>
          <w:rFonts w:ascii="Verdana" w:hAnsi="Verdana"/>
          <w:sz w:val="18"/>
          <w:szCs w:val="18"/>
        </w:rPr>
        <w:t>E</w:t>
      </w:r>
      <w:r w:rsidRPr="00FF4F3A">
        <w:rPr>
          <w:rFonts w:ascii="Verdana" w:hAnsi="Verdana"/>
          <w:sz w:val="18"/>
          <w:szCs w:val="18"/>
        </w:rPr>
        <w:t xml:space="preserve">valuation and </w:t>
      </w:r>
      <w:r>
        <w:rPr>
          <w:rFonts w:ascii="Verdana" w:hAnsi="Verdana"/>
          <w:sz w:val="18"/>
          <w:szCs w:val="18"/>
        </w:rPr>
        <w:t>L</w:t>
      </w:r>
      <w:r w:rsidRPr="00FF4F3A">
        <w:rPr>
          <w:rFonts w:ascii="Verdana" w:hAnsi="Verdana"/>
          <w:sz w:val="18"/>
          <w:szCs w:val="18"/>
        </w:rPr>
        <w:t>earning</w:t>
      </w:r>
      <w:r>
        <w:rPr>
          <w:rFonts w:ascii="Verdana" w:hAnsi="Verdana"/>
          <w:sz w:val="18"/>
          <w:szCs w:val="18"/>
        </w:rPr>
        <w:t xml:space="preserve"> (PMEL)</w:t>
      </w:r>
      <w:r w:rsidRPr="00FF4F3A">
        <w:rPr>
          <w:rFonts w:ascii="Verdana" w:hAnsi="Verdana"/>
          <w:sz w:val="18"/>
          <w:szCs w:val="18"/>
        </w:rPr>
        <w:t xml:space="preserve"> for the activities for which grant funding is requested.</w:t>
      </w:r>
    </w:p>
    <w:p w14:paraId="2A20FE45" w14:textId="77777777" w:rsidR="00867EF7" w:rsidRPr="00FF4F3A" w:rsidRDefault="00867EF7" w:rsidP="00867EF7">
      <w:pPr>
        <w:pStyle w:val="Lijstalinea"/>
        <w:numPr>
          <w:ilvl w:val="0"/>
          <w:numId w:val="19"/>
        </w:numPr>
        <w:shd w:val="clear" w:color="auto" w:fill="FFFFFF"/>
        <w:spacing w:after="120" w:line="240" w:lineRule="auto"/>
        <w:contextualSpacing w:val="0"/>
        <w:rPr>
          <w:rFonts w:ascii="Verdana" w:eastAsia="Times New Roman" w:hAnsi="Verdana" w:cstheme="minorHAnsi"/>
          <w:sz w:val="18"/>
          <w:szCs w:val="18"/>
        </w:rPr>
      </w:pPr>
      <w:r w:rsidRPr="00FF4F3A">
        <w:rPr>
          <w:rFonts w:ascii="Verdana" w:hAnsi="Verdana"/>
          <w:sz w:val="18"/>
          <w:szCs w:val="18"/>
        </w:rPr>
        <w:t xml:space="preserve">The extent to which satisfactory risk management is in place with regard to the risks of the activities for which grant funding is requested, effectively identifying the possible risks associated with the activities (satisfactory risk analysis), including satisfactory monitoring and mitigation of those risks. </w:t>
      </w:r>
    </w:p>
    <w:p w14:paraId="4EC75AA8" w14:textId="77777777" w:rsidR="00867EF7" w:rsidRPr="00FF4F3A" w:rsidRDefault="00867EF7" w:rsidP="00867EF7">
      <w:pPr>
        <w:pStyle w:val="Lijstalinea"/>
        <w:numPr>
          <w:ilvl w:val="0"/>
          <w:numId w:val="19"/>
        </w:numPr>
        <w:shd w:val="clear" w:color="auto" w:fill="FFFFFF"/>
        <w:spacing w:after="120" w:line="240" w:lineRule="auto"/>
        <w:contextualSpacing w:val="0"/>
        <w:rPr>
          <w:rFonts w:ascii="Verdana" w:eastAsia="Times New Roman" w:hAnsi="Verdana" w:cstheme="minorHAnsi"/>
          <w:sz w:val="18"/>
          <w:szCs w:val="18"/>
        </w:rPr>
      </w:pPr>
      <w:r w:rsidRPr="00FF4F3A">
        <w:rPr>
          <w:rFonts w:ascii="Verdana" w:hAnsi="Verdana"/>
          <w:sz w:val="18"/>
          <w:szCs w:val="18"/>
        </w:rPr>
        <w:t>The extent to which measures are in place to ensure that the activities for which grant funding is requested comply with international quality standards, especially in relation to clinical studies, ethical aspects and publication requirements.</w:t>
      </w:r>
    </w:p>
    <w:p w14:paraId="64E39930" w14:textId="080A9135" w:rsidR="00036888" w:rsidRDefault="00036888">
      <w:pPr>
        <w:spacing w:after="0" w:line="240" w:lineRule="auto"/>
        <w:rPr>
          <w:rFonts w:ascii="Verdana" w:hAnsi="Verdana"/>
          <w:sz w:val="18"/>
          <w:szCs w:val="18"/>
        </w:rPr>
      </w:pPr>
      <w:r>
        <w:rPr>
          <w:rFonts w:ascii="Verdana" w:hAnsi="Verdana"/>
          <w:sz w:val="18"/>
          <w:szCs w:val="18"/>
        </w:rPr>
        <w:br w:type="page"/>
      </w:r>
    </w:p>
    <w:p w14:paraId="0A78BD81" w14:textId="080A9135" w:rsidR="00036888" w:rsidRPr="007E7400" w:rsidRDefault="00036888" w:rsidP="00036888">
      <w:pPr>
        <w:shd w:val="clear" w:color="auto" w:fill="FFFFFF"/>
        <w:spacing w:after="360" w:line="240" w:lineRule="auto"/>
        <w:outlineLvl w:val="2"/>
        <w:rPr>
          <w:rFonts w:ascii="Verdana" w:eastAsia="Times New Roman" w:hAnsi="Verdana" w:cstheme="minorHAnsi"/>
          <w:b/>
          <w:bCs/>
          <w:sz w:val="18"/>
          <w:szCs w:val="18"/>
          <w:lang w:val="en-US"/>
        </w:rPr>
      </w:pPr>
      <w:r w:rsidRPr="00FF4F3A">
        <w:rPr>
          <w:rFonts w:ascii="Verdana" w:hAnsi="Verdana"/>
          <w:b/>
          <w:bCs/>
          <w:sz w:val="18"/>
          <w:szCs w:val="18"/>
        </w:rPr>
        <w:lastRenderedPageBreak/>
        <w:t>Threshold criteria concerning the application</w:t>
      </w:r>
    </w:p>
    <w:p w14:paraId="550AA307" w14:textId="77777777"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The application focuses on PDP IV’s principal objective and at least one of the three themes described in section III.</w:t>
      </w:r>
    </w:p>
    <w:p w14:paraId="141D20FB" w14:textId="77777777"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The activities for which grant funding is requested are aligned with the geographical focus and cover the stages of the product development cycle envisaged by PDP IV and target the group described in section V.</w:t>
      </w:r>
    </w:p>
    <w:p w14:paraId="3C870411" w14:textId="77777777"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The applicant must demonstrate that the market has failed or the risk of market failure is high, resulting in a need for public financing.</w:t>
      </w:r>
      <w:r w:rsidRPr="00036888">
        <w:rPr>
          <w:rFonts w:ascii="Verdana" w:hAnsi="Verdana"/>
          <w:sz w:val="18"/>
          <w:szCs w:val="18"/>
        </w:rPr>
        <w:t> </w:t>
      </w:r>
    </w:p>
    <w:p w14:paraId="22B3D393" w14:textId="77777777"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 xml:space="preserve">The application concerns activities that run from 1 </w:t>
      </w:r>
      <w:r w:rsidRPr="00601D3A">
        <w:rPr>
          <w:rFonts w:ascii="Verdana" w:hAnsi="Verdana"/>
          <w:sz w:val="18"/>
          <w:szCs w:val="18"/>
        </w:rPr>
        <w:t>December 2022 to 1 December 2027</w:t>
      </w:r>
      <w:r w:rsidRPr="00FF4F3A">
        <w:rPr>
          <w:rFonts w:ascii="Verdana" w:hAnsi="Verdana"/>
          <w:sz w:val="18"/>
          <w:szCs w:val="18"/>
        </w:rPr>
        <w:t xml:space="preserve">. </w:t>
      </w:r>
    </w:p>
    <w:p w14:paraId="67C8683F" w14:textId="77777777"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The total grant requested for the five-year period covered by the application is at least €14 million and no more than €21 million.</w:t>
      </w:r>
    </w:p>
    <w:p w14:paraId="0E541B6C" w14:textId="77777777"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No previous grant derived from the Ministry of Foreign Affairs’ budget has been awarded for the activities for which grant funding is requested.</w:t>
      </w:r>
    </w:p>
    <w:p w14:paraId="4BACAC3D" w14:textId="77777777"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Under article 9 of the Ministry of Foreign Affairs Grants Decree, a grant will be refused if the application is submitted after the activities have started.</w:t>
      </w:r>
      <w:r w:rsidRPr="00036888">
        <w:footnoteReference w:id="5"/>
      </w:r>
      <w:r w:rsidRPr="00FF4F3A">
        <w:rPr>
          <w:rFonts w:ascii="Verdana" w:hAnsi="Verdana"/>
          <w:sz w:val="18"/>
          <w:szCs w:val="18"/>
        </w:rPr>
        <w:t xml:space="preserve"> </w:t>
      </w:r>
    </w:p>
    <w:p w14:paraId="41232D10" w14:textId="3A588E3B" w:rsidR="00036888" w:rsidRPr="00036888" w:rsidRDefault="00036888" w:rsidP="00036888">
      <w:pPr>
        <w:pStyle w:val="Lijstalinea"/>
        <w:numPr>
          <w:ilvl w:val="0"/>
          <w:numId w:val="17"/>
        </w:numPr>
        <w:shd w:val="clear" w:color="auto" w:fill="FFFFFF"/>
        <w:spacing w:before="120" w:after="120" w:line="240" w:lineRule="auto"/>
        <w:contextualSpacing w:val="0"/>
        <w:rPr>
          <w:rFonts w:ascii="Verdana" w:hAnsi="Verdana"/>
          <w:sz w:val="18"/>
          <w:szCs w:val="18"/>
        </w:rPr>
      </w:pPr>
      <w:r w:rsidRPr="00FF4F3A">
        <w:rPr>
          <w:rFonts w:ascii="Verdana" w:hAnsi="Verdana"/>
          <w:sz w:val="18"/>
          <w:szCs w:val="18"/>
        </w:rPr>
        <w:t>If the grant is requested for an ongoing product development cycle or for a product development cycle (or part thereof) for which a grant has previously been awarded, the activities for which a PDP IV grant is requested must concern a clearly delimited part of the product development cycle that can be clearly distinguished by its nature or timing from the part of the product development cycle that has already been started or has already received grant funding</w:t>
      </w:r>
    </w:p>
    <w:p w14:paraId="7F7EDD0A" w14:textId="7C3FC81F" w:rsidR="0033285B" w:rsidRDefault="0033285B">
      <w:pPr>
        <w:rPr>
          <w:szCs w:val="18"/>
        </w:rPr>
      </w:pPr>
      <w:bookmarkStart w:id="3" w:name="bmBegin"/>
      <w:bookmarkEnd w:id="0"/>
      <w:bookmarkEnd w:id="3"/>
    </w:p>
    <w:sectPr w:rsidR="0033285B" w:rsidSect="00867EF7">
      <w:headerReference w:type="even" r:id="rId7"/>
      <w:headerReference w:type="default" r:id="rId8"/>
      <w:footerReference w:type="even" r:id="rId9"/>
      <w:footerReference w:type="default" r:id="rId10"/>
      <w:headerReference w:type="first" r:id="rId11"/>
      <w:footerReference w:type="first" r:id="rId12"/>
      <w:pgSz w:w="11906" w:h="16838" w:code="9"/>
      <w:pgMar w:top="2398" w:right="1558" w:bottom="993" w:left="1559" w:header="239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0256" w14:textId="77777777" w:rsidR="00036888" w:rsidRDefault="00036888">
      <w:r>
        <w:separator/>
      </w:r>
    </w:p>
    <w:p w14:paraId="637D8FBB" w14:textId="77777777" w:rsidR="00036888" w:rsidRDefault="00036888"/>
  </w:endnote>
  <w:endnote w:type="continuationSeparator" w:id="0">
    <w:p w14:paraId="0E6AA365" w14:textId="77777777" w:rsidR="00036888" w:rsidRDefault="00036888">
      <w:r>
        <w:continuationSeparator/>
      </w:r>
    </w:p>
    <w:p w14:paraId="2C0B09B9" w14:textId="77777777" w:rsidR="00036888" w:rsidRDefault="00036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B881" w14:textId="16473D33" w:rsidR="00427195" w:rsidRDefault="00427195">
    <w:pPr>
      <w:pStyle w:val="Voettekst"/>
    </w:pPr>
  </w:p>
  <w:p w14:paraId="62BC129D" w14:textId="77777777" w:rsidR="00427195" w:rsidRDefault="00427195"/>
  <w:tbl>
    <w:tblPr>
      <w:tblW w:w="9900" w:type="dxa"/>
      <w:tblLayout w:type="fixed"/>
      <w:tblCellMar>
        <w:left w:w="0" w:type="dxa"/>
        <w:right w:w="0" w:type="dxa"/>
      </w:tblCellMar>
      <w:tblLook w:val="0000" w:firstRow="0" w:lastRow="0" w:firstColumn="0" w:lastColumn="0" w:noHBand="0" w:noVBand="0"/>
    </w:tblPr>
    <w:tblGrid>
      <w:gridCol w:w="7752"/>
      <w:gridCol w:w="2148"/>
    </w:tblGrid>
    <w:tr w:rsidR="00427195" w14:paraId="2BD7CD5B" w14:textId="77777777">
      <w:trPr>
        <w:trHeight w:hRule="exact" w:val="240"/>
      </w:trPr>
      <w:tc>
        <w:tcPr>
          <w:tcW w:w="7752" w:type="dxa"/>
        </w:tcPr>
        <w:p w14:paraId="6423047F" w14:textId="77777777" w:rsidR="00427195" w:rsidRDefault="00427195">
          <w:pPr>
            <w:pStyle w:val="Huisstijl-Rubricering"/>
          </w:pPr>
          <w:r>
            <w:t>VERTROUWELIJK</w:t>
          </w:r>
        </w:p>
      </w:tc>
      <w:tc>
        <w:tcPr>
          <w:tcW w:w="2148" w:type="dxa"/>
        </w:tcPr>
        <w:p w14:paraId="2E7078D2"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E7C6" w14:textId="20AFE093" w:rsidR="00427195" w:rsidRDefault="00233298">
    <w:pPr>
      <w:pStyle w:val="Voettekst"/>
      <w:spacing w:line="240" w:lineRule="auto"/>
      <w:rPr>
        <w:sz w:val="2"/>
        <w:szCs w:val="2"/>
      </w:rPr>
    </w:pPr>
    <w:r>
      <w:rPr>
        <w:noProof/>
        <w:sz w:val="2"/>
        <w:szCs w:val="2"/>
      </w:rPr>
      <mc:AlternateContent>
        <mc:Choice Requires="wps">
          <w:drawing>
            <wp:anchor distT="0" distB="0" distL="114300" distR="114300" simplePos="0" relativeHeight="251659264" behindDoc="0" locked="0" layoutInCell="1" allowOverlap="1" wp14:anchorId="49E144C9" wp14:editId="62189FAB">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8"/>
                            <w:gridCol w:w="140"/>
                            <w:gridCol w:w="188"/>
                            <w:gridCol w:w="1448"/>
                          </w:tblGrid>
                          <w:tr w:rsidR="00427195" w14:paraId="37BA321B" w14:textId="77777777">
                            <w:tc>
                              <w:tcPr>
                                <w:tcW w:w="360" w:type="dxa"/>
                                <w:noWrap/>
                                <w:tcMar>
                                  <w:left w:w="0" w:type="dxa"/>
                                  <w:right w:w="57" w:type="dxa"/>
                                </w:tcMar>
                              </w:tcPr>
                              <w:p w14:paraId="77BC3B0C" w14:textId="77777777" w:rsidR="00427195" w:rsidRDefault="00427195">
                                <w:pPr>
                                  <w:pStyle w:val="Huisstijl-Gegeven"/>
                                </w:pPr>
                                <w:bookmarkStart w:id="4" w:name="bmPag2" w:colFirst="0" w:colLast="0"/>
                                <w:bookmarkStart w:id="5" w:name="bmPagVan2" w:colFirst="2" w:colLast="2"/>
                              </w:p>
                            </w:tc>
                            <w:tc>
                              <w:tcPr>
                                <w:tcW w:w="113" w:type="dxa"/>
                                <w:noWrap/>
                                <w:tcMar>
                                  <w:left w:w="0" w:type="dxa"/>
                                  <w:right w:w="57" w:type="dxa"/>
                                </w:tcMar>
                              </w:tcPr>
                              <w:p w14:paraId="0B3230C7" w14:textId="77777777" w:rsidR="00427195" w:rsidRDefault="00427195">
                                <w:pPr>
                                  <w:pStyle w:val="Huisstijl-Gegeven"/>
                                </w:pP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p>
                            </w:tc>
                            <w:tc>
                              <w:tcPr>
                                <w:tcW w:w="180" w:type="dxa"/>
                                <w:noWrap/>
                                <w:tcMar>
                                  <w:left w:w="0" w:type="dxa"/>
                                  <w:right w:w="57" w:type="dxa"/>
                                </w:tcMar>
                              </w:tcPr>
                              <w:p w14:paraId="1F85E7AF" w14:textId="1DCD7070" w:rsidR="00427195" w:rsidRDefault="0086281A">
                                <w:pPr>
                                  <w:pStyle w:val="Huisstijl-Gegeven"/>
                                </w:pPr>
                                <w:r>
                                  <w:t>of</w:t>
                                </w:r>
                              </w:p>
                            </w:tc>
                            <w:tc>
                              <w:tcPr>
                                <w:tcW w:w="1440" w:type="dxa"/>
                                <w:noWrap/>
                                <w:tcMar>
                                  <w:left w:w="0" w:type="dxa"/>
                                  <w:right w:w="57" w:type="dxa"/>
                                </w:tcMar>
                              </w:tcPr>
                              <w:p w14:paraId="6F15F08D" w14:textId="77777777" w:rsidR="00427195" w:rsidRDefault="00867EF7">
                                <w:pPr>
                                  <w:pStyle w:val="Huisstijl-Gegeven"/>
                                </w:pPr>
                                <w:fldSimple w:instr=" NUMPAGES   \* MERGEFORMAT ">
                                  <w:r w:rsidR="00427195">
                                    <w:t>1</w:t>
                                  </w:r>
                                </w:fldSimple>
                              </w:p>
                            </w:tc>
                          </w:tr>
                          <w:bookmarkEnd w:id="4"/>
                          <w:bookmarkEnd w:id="5"/>
                        </w:tbl>
                        <w:p w14:paraId="7D210A66" w14:textId="77777777" w:rsidR="00427195" w:rsidRDefault="00427195"/>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144C9" id="_x0000_t202" coordsize="21600,21600" o:spt="202" path="m,l,21600r21600,l21600,xe">
              <v:stroke joinstyle="miter"/>
              <v:path gradientshapeok="t" o:connecttype="rect"/>
            </v:shapetype>
            <v:shape id="Text Box 71" o:spid="_x0000_s1026"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" filled="f" stroked="f">
              <v:textbox inset="0,0">
                <w:txbxContent>
                  <w:tbl>
                    <w:tblPr>
                      <w:tblW w:w="0" w:type="auto"/>
                      <w:tblLook w:val="01E0" w:firstRow="1" w:lastRow="1" w:firstColumn="1" w:lastColumn="1" w:noHBand="0" w:noVBand="0"/>
                    </w:tblPr>
                    <w:tblGrid>
                      <w:gridCol w:w="368"/>
                      <w:gridCol w:w="140"/>
                      <w:gridCol w:w="188"/>
                      <w:gridCol w:w="1448"/>
                    </w:tblGrid>
                    <w:tr w:rsidR="00427195" w14:paraId="37BA321B" w14:textId="77777777">
                      <w:tc>
                        <w:tcPr>
                          <w:tcW w:w="360" w:type="dxa"/>
                          <w:noWrap/>
                          <w:tcMar>
                            <w:left w:w="0" w:type="dxa"/>
                            <w:right w:w="57" w:type="dxa"/>
                          </w:tcMar>
                        </w:tcPr>
                        <w:p w14:paraId="77BC3B0C" w14:textId="77777777" w:rsidR="00427195" w:rsidRDefault="00427195">
                          <w:pPr>
                            <w:pStyle w:val="Huisstijl-Gegeven"/>
                          </w:pPr>
                          <w:bookmarkStart w:id="6" w:name="bmPag2" w:colFirst="0" w:colLast="0"/>
                          <w:bookmarkStart w:id="7" w:name="bmPagVan2" w:colFirst="2" w:colLast="2"/>
                        </w:p>
                      </w:tc>
                      <w:tc>
                        <w:tcPr>
                          <w:tcW w:w="113" w:type="dxa"/>
                          <w:noWrap/>
                          <w:tcMar>
                            <w:left w:w="0" w:type="dxa"/>
                            <w:right w:w="57" w:type="dxa"/>
                          </w:tcMar>
                        </w:tcPr>
                        <w:p w14:paraId="0B3230C7" w14:textId="77777777" w:rsidR="00427195" w:rsidRDefault="00427195">
                          <w:pPr>
                            <w:pStyle w:val="Huisstijl-Gegeven"/>
                          </w:pP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p>
                      </w:tc>
                      <w:tc>
                        <w:tcPr>
                          <w:tcW w:w="180" w:type="dxa"/>
                          <w:noWrap/>
                          <w:tcMar>
                            <w:left w:w="0" w:type="dxa"/>
                            <w:right w:w="57" w:type="dxa"/>
                          </w:tcMar>
                        </w:tcPr>
                        <w:p w14:paraId="1F85E7AF" w14:textId="1DCD7070" w:rsidR="00427195" w:rsidRDefault="0086281A">
                          <w:pPr>
                            <w:pStyle w:val="Huisstijl-Gegeven"/>
                          </w:pPr>
                          <w:r>
                            <w:t>of</w:t>
                          </w:r>
                        </w:p>
                      </w:tc>
                      <w:tc>
                        <w:tcPr>
                          <w:tcW w:w="1440" w:type="dxa"/>
                          <w:noWrap/>
                          <w:tcMar>
                            <w:left w:w="0" w:type="dxa"/>
                            <w:right w:w="57" w:type="dxa"/>
                          </w:tcMar>
                        </w:tcPr>
                        <w:p w14:paraId="6F15F08D" w14:textId="77777777" w:rsidR="00427195" w:rsidRDefault="00867EF7">
                          <w:pPr>
                            <w:pStyle w:val="Huisstijl-Gegeven"/>
                          </w:pPr>
                          <w:fldSimple w:instr=" NUMPAGES   \* MERGEFORMAT ">
                            <w:r w:rsidR="00427195">
                              <w:t>1</w:t>
                            </w:r>
                          </w:fldSimple>
                        </w:p>
                      </w:tc>
                    </w:tr>
                    <w:bookmarkEnd w:id="6"/>
                    <w:bookmarkEnd w:id="7"/>
                  </w:tbl>
                  <w:p w14:paraId="7D210A66" w14:textId="77777777" w:rsidR="00427195" w:rsidRDefault="00427195"/>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98AF" w14:textId="0F148145" w:rsidR="00427195" w:rsidRDefault="00233298">
    <w:pPr>
      <w:pStyle w:val="Voettekst"/>
      <w:spacing w:line="240" w:lineRule="auto"/>
      <w:rPr>
        <w:szCs w:val="18"/>
      </w:rPr>
    </w:pPr>
    <w:r>
      <w:rPr>
        <w:noProof/>
        <w:szCs w:val="18"/>
      </w:rPr>
      <mc:AlternateContent>
        <mc:Choice Requires="wps">
          <w:drawing>
            <wp:anchor distT="0" distB="0" distL="114300" distR="114300" simplePos="0" relativeHeight="251656192" behindDoc="0" locked="0" layoutInCell="1" allowOverlap="1" wp14:anchorId="2224C86D" wp14:editId="7829D423">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196"/>
                            <w:gridCol w:w="1363"/>
                          </w:tblGrid>
                          <w:tr w:rsidR="00427195" w14:paraId="63753C2F" w14:textId="77777777">
                            <w:tc>
                              <w:tcPr>
                                <w:tcW w:w="368" w:type="dxa"/>
                                <w:noWrap/>
                                <w:tcMar>
                                  <w:left w:w="0" w:type="dxa"/>
                                  <w:right w:w="57" w:type="dxa"/>
                                </w:tcMar>
                              </w:tcPr>
                              <w:p w14:paraId="31A431EF" w14:textId="77777777" w:rsidR="00427195" w:rsidRDefault="00427195">
                                <w:pPr>
                                  <w:pStyle w:val="Huisstijl-Gegeven"/>
                                </w:pPr>
                                <w:bookmarkStart w:id="12" w:name="bmPag" w:colFirst="0" w:colLast="0"/>
                                <w:bookmarkStart w:id="13" w:name="bmPagVan" w:colFirst="2" w:colLast="2"/>
                              </w:p>
                            </w:tc>
                            <w:tc>
                              <w:tcPr>
                                <w:tcW w:w="140" w:type="dxa"/>
                                <w:noWrap/>
                                <w:tcMar>
                                  <w:left w:w="0" w:type="dxa"/>
                                  <w:right w:w="57" w:type="dxa"/>
                                </w:tcMar>
                              </w:tcPr>
                              <w:p w14:paraId="031C671C" w14:textId="77777777" w:rsidR="00427195" w:rsidRDefault="00427195">
                                <w:pPr>
                                  <w:pStyle w:val="Huisstijl-Gegeven"/>
                                </w:pP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E672E">
                                  <w:rPr>
                                    <w:rStyle w:val="Huisstijl-GegevenCharChar"/>
                                  </w:rPr>
                                  <w:t>1</w:t>
                                </w:r>
                                <w:r>
                                  <w:rPr>
                                    <w:rStyle w:val="Huisstijl-GegevenCharChar"/>
                                  </w:rPr>
                                  <w:fldChar w:fldCharType="end"/>
                                </w:r>
                              </w:p>
                            </w:tc>
                            <w:tc>
                              <w:tcPr>
                                <w:tcW w:w="188" w:type="dxa"/>
                                <w:noWrap/>
                                <w:tcMar>
                                  <w:left w:w="0" w:type="dxa"/>
                                  <w:right w:w="28" w:type="dxa"/>
                                </w:tcMar>
                              </w:tcPr>
                              <w:p w14:paraId="73AC4302" w14:textId="197C2073" w:rsidR="00427195" w:rsidRDefault="0086281A">
                                <w:pPr>
                                  <w:pStyle w:val="Huisstijl-Gegeven"/>
                                </w:pPr>
                                <w:r>
                                  <w:t>of</w:t>
                                </w:r>
                              </w:p>
                            </w:tc>
                            <w:tc>
                              <w:tcPr>
                                <w:tcW w:w="1355" w:type="dxa"/>
                                <w:noWrap/>
                                <w:tcMar>
                                  <w:left w:w="0" w:type="dxa"/>
                                  <w:right w:w="57" w:type="dxa"/>
                                </w:tcMar>
                              </w:tcPr>
                              <w:p w14:paraId="32939984" w14:textId="77777777" w:rsidR="00427195" w:rsidRDefault="00725AB0">
                                <w:pPr>
                                  <w:pStyle w:val="Huisstijl-Gegeven"/>
                                </w:pPr>
                                <w:r>
                                  <w:fldChar w:fldCharType="begin"/>
                                </w:r>
                                <w:r>
                                  <w:instrText xml:space="preserve"> NUMPAGES  </w:instrText>
                                </w:r>
                                <w:r>
                                  <w:fldChar w:fldCharType="separate"/>
                                </w:r>
                                <w:r w:rsidR="002E672E">
                                  <w:t>1</w:t>
                                </w:r>
                                <w:r>
                                  <w:fldChar w:fldCharType="end"/>
                                </w:r>
                              </w:p>
                            </w:tc>
                          </w:tr>
                          <w:bookmarkEnd w:id="12"/>
                          <w:bookmarkEnd w:id="13"/>
                        </w:tbl>
                        <w:p w14:paraId="2392D21C" w14:textId="77777777" w:rsidR="00427195" w:rsidRDefault="00427195"/>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4C86D" id="_x0000_t202" coordsize="21600,21600" o:spt="202" path="m,l,21600r21600,l21600,xe">
              <v:stroke joinstyle="miter"/>
              <v:path gradientshapeok="t" o:connecttype="rect"/>
            </v:shapetype>
            <v:shape id="Text Box 46" o:spid="_x0000_s1029"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" filled="f" stroked="f">
              <v:textbox inset="1mm,0">
                <w:txbxContent>
                  <w:tbl>
                    <w:tblPr>
                      <w:tblW w:w="0" w:type="auto"/>
                      <w:tblLook w:val="01E0" w:firstRow="1" w:lastRow="1" w:firstColumn="1" w:lastColumn="1" w:noHBand="0" w:noVBand="0"/>
                    </w:tblPr>
                    <w:tblGrid>
                      <w:gridCol w:w="376"/>
                      <w:gridCol w:w="148"/>
                      <w:gridCol w:w="196"/>
                      <w:gridCol w:w="1363"/>
                    </w:tblGrid>
                    <w:tr w:rsidR="00427195" w14:paraId="63753C2F" w14:textId="77777777">
                      <w:tc>
                        <w:tcPr>
                          <w:tcW w:w="368" w:type="dxa"/>
                          <w:noWrap/>
                          <w:tcMar>
                            <w:left w:w="0" w:type="dxa"/>
                            <w:right w:w="57" w:type="dxa"/>
                          </w:tcMar>
                        </w:tcPr>
                        <w:p w14:paraId="31A431EF" w14:textId="77777777" w:rsidR="00427195" w:rsidRDefault="00427195">
                          <w:pPr>
                            <w:pStyle w:val="Huisstijl-Gegeven"/>
                          </w:pPr>
                          <w:bookmarkStart w:id="14" w:name="bmPag" w:colFirst="0" w:colLast="0"/>
                          <w:bookmarkStart w:id="15" w:name="bmPagVan" w:colFirst="2" w:colLast="2"/>
                        </w:p>
                      </w:tc>
                      <w:tc>
                        <w:tcPr>
                          <w:tcW w:w="140" w:type="dxa"/>
                          <w:noWrap/>
                          <w:tcMar>
                            <w:left w:w="0" w:type="dxa"/>
                            <w:right w:w="57" w:type="dxa"/>
                          </w:tcMar>
                        </w:tcPr>
                        <w:p w14:paraId="031C671C" w14:textId="77777777" w:rsidR="00427195" w:rsidRDefault="00427195">
                          <w:pPr>
                            <w:pStyle w:val="Huisstijl-Gegeven"/>
                          </w:pP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E672E">
                            <w:rPr>
                              <w:rStyle w:val="Huisstijl-GegevenCharChar"/>
                            </w:rPr>
                            <w:t>1</w:t>
                          </w:r>
                          <w:r>
                            <w:rPr>
                              <w:rStyle w:val="Huisstijl-GegevenCharChar"/>
                            </w:rPr>
                            <w:fldChar w:fldCharType="end"/>
                          </w:r>
                        </w:p>
                      </w:tc>
                      <w:tc>
                        <w:tcPr>
                          <w:tcW w:w="188" w:type="dxa"/>
                          <w:noWrap/>
                          <w:tcMar>
                            <w:left w:w="0" w:type="dxa"/>
                            <w:right w:w="28" w:type="dxa"/>
                          </w:tcMar>
                        </w:tcPr>
                        <w:p w14:paraId="73AC4302" w14:textId="197C2073" w:rsidR="00427195" w:rsidRDefault="0086281A">
                          <w:pPr>
                            <w:pStyle w:val="Huisstijl-Gegeven"/>
                          </w:pPr>
                          <w:r>
                            <w:t>of</w:t>
                          </w:r>
                        </w:p>
                      </w:tc>
                      <w:tc>
                        <w:tcPr>
                          <w:tcW w:w="1355" w:type="dxa"/>
                          <w:noWrap/>
                          <w:tcMar>
                            <w:left w:w="0" w:type="dxa"/>
                            <w:right w:w="57" w:type="dxa"/>
                          </w:tcMar>
                        </w:tcPr>
                        <w:p w14:paraId="32939984" w14:textId="77777777" w:rsidR="00427195" w:rsidRDefault="00725AB0">
                          <w:pPr>
                            <w:pStyle w:val="Huisstijl-Gegeven"/>
                          </w:pPr>
                          <w:r>
                            <w:fldChar w:fldCharType="begin"/>
                          </w:r>
                          <w:r>
                            <w:instrText xml:space="preserve"> NUMPAGES  </w:instrText>
                          </w:r>
                          <w:r>
                            <w:fldChar w:fldCharType="separate"/>
                          </w:r>
                          <w:r w:rsidR="002E672E">
                            <w:t>1</w:t>
                          </w:r>
                          <w:r>
                            <w:fldChar w:fldCharType="end"/>
                          </w:r>
                        </w:p>
                      </w:tc>
                    </w:tr>
                    <w:bookmarkEnd w:id="14"/>
                    <w:bookmarkEnd w:id="15"/>
                  </w:tbl>
                  <w:p w14:paraId="2392D21C" w14:textId="77777777" w:rsidR="00427195" w:rsidRDefault="0042719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2F2F" w14:textId="77777777" w:rsidR="00036888" w:rsidRDefault="00036888">
      <w:r>
        <w:separator/>
      </w:r>
    </w:p>
    <w:p w14:paraId="347CF0F2" w14:textId="77777777" w:rsidR="00036888" w:rsidRDefault="00036888"/>
  </w:footnote>
  <w:footnote w:type="continuationSeparator" w:id="0">
    <w:p w14:paraId="48FC7DC5" w14:textId="77777777" w:rsidR="00036888" w:rsidRDefault="00036888">
      <w:r>
        <w:continuationSeparator/>
      </w:r>
    </w:p>
    <w:p w14:paraId="1971C051" w14:textId="77777777" w:rsidR="00036888" w:rsidRDefault="00036888"/>
  </w:footnote>
  <w:footnote w:id="1">
    <w:p w14:paraId="626EE20E" w14:textId="77777777" w:rsidR="00867EF7" w:rsidRPr="008303C9" w:rsidRDefault="00867EF7" w:rsidP="00867EF7">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An equal say and equal influence during decision-making processes concerning, among other things: roles and responsibilities, the respective parties’ rights and obligations, budget allocation, and the design and implementation of activities.</w:t>
      </w:r>
    </w:p>
  </w:footnote>
  <w:footnote w:id="2">
    <w:p w14:paraId="52E32AAC" w14:textId="77777777" w:rsidR="00867EF7" w:rsidRPr="008303C9" w:rsidRDefault="00867EF7" w:rsidP="00867EF7">
      <w:pPr>
        <w:pStyle w:val="Voetnoottekst"/>
        <w:rPr>
          <w:rFonts w:ascii="Verdana" w:hAnsi="Verdana"/>
          <w:sz w:val="16"/>
          <w:szCs w:val="16"/>
        </w:rPr>
      </w:pPr>
      <w:r>
        <w:rPr>
          <w:rStyle w:val="Voetnootmarkering"/>
          <w:rFonts w:ascii="Verdana" w:hAnsi="Verdana"/>
          <w:sz w:val="16"/>
          <w:szCs w:val="16"/>
        </w:rPr>
        <w:footnoteRef/>
      </w:r>
      <w:r>
        <w:t xml:space="preserve"> </w:t>
      </w:r>
      <w:r>
        <w:rPr>
          <w:rFonts w:ascii="Verdana" w:hAnsi="Verdana"/>
          <w:sz w:val="16"/>
          <w:szCs w:val="16"/>
        </w:rPr>
        <w:t>This analysis should at any rate examine the success and risk factors or the applicant’s strengths and weaknesses with regard to the implementation of the activities and should propose mitigating measures.</w:t>
      </w:r>
    </w:p>
  </w:footnote>
  <w:footnote w:id="3">
    <w:p w14:paraId="6FE8ECD0" w14:textId="77777777" w:rsidR="00867EF7" w:rsidRPr="003B3115" w:rsidRDefault="00867EF7" w:rsidP="00867EF7">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This is demonstrated by means of a clear problem/needs, context and gender analysis and a description of activities geared to accessibility and community engagement.</w:t>
      </w:r>
    </w:p>
  </w:footnote>
  <w:footnote w:id="4">
    <w:p w14:paraId="55D1C9B8" w14:textId="77777777" w:rsidR="00867EF7" w:rsidRPr="002B2152" w:rsidRDefault="00867EF7" w:rsidP="00867EF7">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Value for money is measured against the following criteria: economy, efficiency, effectiveness and equity.</w:t>
      </w:r>
    </w:p>
  </w:footnote>
  <w:footnote w:id="5">
    <w:p w14:paraId="725540C0" w14:textId="77777777" w:rsidR="00036888" w:rsidRPr="00A73EDF" w:rsidRDefault="00036888" w:rsidP="00036888">
      <w:pPr>
        <w:pStyle w:val="Voetnoottekst"/>
        <w:rPr>
          <w:rFonts w:ascii="Verdana" w:hAnsi="Verdana"/>
          <w:sz w:val="16"/>
          <w:szCs w:val="16"/>
        </w:rPr>
      </w:pPr>
      <w:r w:rsidRPr="00036888">
        <w:rPr>
          <w:rStyle w:val="Voetnootmarkering"/>
          <w:rFonts w:ascii="Verdana" w:hAnsi="Verdana"/>
          <w:sz w:val="18"/>
          <w:szCs w:val="18"/>
        </w:rPr>
        <w:footnoteRef/>
      </w:r>
      <w:r>
        <w:rPr>
          <w:rFonts w:ascii="Verdana" w:hAnsi="Verdana"/>
          <w:sz w:val="16"/>
          <w:szCs w:val="16"/>
        </w:rPr>
        <w:t xml:space="preserve"> It should be noted that any activities that take place before the application is submitted in preparation for the activities for which a grant is requested will not in themselves result in rejection of the application. However, if the application is approved, the costs of those preparatory activities will not be eligible for grant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9BAA" w14:textId="57486340" w:rsidR="00427195" w:rsidRDefault="00427195">
    <w:pPr>
      <w:pStyle w:val="Koptekst"/>
    </w:pPr>
  </w:p>
  <w:p w14:paraId="1B68AC1E"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73DC" w14:textId="7ACAF5E6" w:rsidR="00427195" w:rsidRDefault="00427195">
    <w:pPr>
      <w:spacing w:line="200" w:lineRule="exact"/>
    </w:pPr>
  </w:p>
  <w:p w14:paraId="4DC38E1F" w14:textId="77777777" w:rsidR="00427195" w:rsidRDefault="00427195">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ACF2" w14:textId="26112526" w:rsidR="00427195" w:rsidRDefault="00427195">
    <w:pPr>
      <w:pStyle w:val="Koptekst"/>
    </w:pPr>
  </w:p>
  <w:p w14:paraId="6E39958E" w14:textId="77777777" w:rsidR="00427195" w:rsidRDefault="00233298">
    <w:pPr>
      <w:pStyle w:val="Koptekst"/>
    </w:pPr>
    <w:r>
      <w:rPr>
        <w:noProof/>
      </w:rPr>
      <mc:AlternateContent>
        <mc:Choice Requires="wps">
          <w:drawing>
            <wp:anchor distT="0" distB="0" distL="114300" distR="114300" simplePos="0" relativeHeight="251657216" behindDoc="0" locked="0" layoutInCell="1" allowOverlap="1" wp14:anchorId="0C915837" wp14:editId="3EF1E15D">
              <wp:simplePos x="0" y="0"/>
              <wp:positionH relativeFrom="page">
                <wp:posOffset>4050665</wp:posOffset>
              </wp:positionH>
              <wp:positionV relativeFrom="page">
                <wp:posOffset>-25400</wp:posOffset>
              </wp:positionV>
              <wp:extent cx="3568700" cy="1590675"/>
              <wp:effectExtent l="2540" t="3175" r="635" b="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14:paraId="63004BB9" w14:textId="77777777">
                            <w:trPr>
                              <w:trHeight w:val="1787"/>
                            </w:trPr>
                            <w:tc>
                              <w:tcPr>
                                <w:tcW w:w="4788" w:type="dxa"/>
                                <w:tcBorders>
                                  <w:top w:val="nil"/>
                                  <w:left w:val="nil"/>
                                  <w:bottom w:val="nil"/>
                                  <w:right w:val="nil"/>
                                </w:tcBorders>
                              </w:tcPr>
                              <w:p w14:paraId="40F06FDD" w14:textId="77777777" w:rsidR="00427195" w:rsidRDefault="00427195">
                                <w:bookmarkStart w:id="8" w:name="bmLintregel1" w:colFirst="0" w:colLast="1"/>
                              </w:p>
                            </w:tc>
                          </w:tr>
                          <w:bookmarkEnd w:id="8"/>
                        </w:tbl>
                        <w:p w14:paraId="1D65DB44" w14:textId="77777777" w:rsidR="00427195" w:rsidRDefault="004271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15837" id="_x0000_t202" coordsize="21600,21600" o:spt="202" path="m,l,21600r21600,l21600,xe">
              <v:stroke joinstyle="miter"/>
              <v:path gradientshapeok="t" o:connecttype="rect"/>
            </v:shapetype>
            <v:shape id="Text Box 62" o:spid="_x0000_s1027"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sl7QEAAL8DAAAOAAAAZHJzL2Uyb0RvYy54bWysU9tu2zAMfR+wfxD0vtjJkLQ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14:paraId="63004BB9" w14:textId="77777777">
                      <w:trPr>
                        <w:trHeight w:val="1787"/>
                      </w:trPr>
                      <w:tc>
                        <w:tcPr>
                          <w:tcW w:w="4788" w:type="dxa"/>
                          <w:tcBorders>
                            <w:top w:val="nil"/>
                            <w:left w:val="nil"/>
                            <w:bottom w:val="nil"/>
                            <w:right w:val="nil"/>
                          </w:tcBorders>
                        </w:tcPr>
                        <w:p w14:paraId="40F06FDD" w14:textId="77777777" w:rsidR="00427195" w:rsidRDefault="00427195">
                          <w:bookmarkStart w:id="9" w:name="bmLintregel1" w:colFirst="0" w:colLast="1"/>
                        </w:p>
                      </w:tc>
                    </w:tr>
                    <w:bookmarkEnd w:id="9"/>
                  </w:tbl>
                  <w:p w14:paraId="1D65DB44" w14:textId="77777777" w:rsidR="00427195" w:rsidRDefault="00427195"/>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605F8D24" wp14:editId="4CB68E8C">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14:paraId="2EBF18E2" w14:textId="77777777">
                            <w:trPr>
                              <w:trHeight w:val="2140"/>
                            </w:trPr>
                            <w:tc>
                              <w:tcPr>
                                <w:tcW w:w="737" w:type="dxa"/>
                              </w:tcPr>
                              <w:p w14:paraId="05A234DA" w14:textId="77777777" w:rsidR="00427195" w:rsidRDefault="00F60F4E">
                                <w:pPr>
                                  <w:spacing w:line="240" w:lineRule="auto"/>
                                </w:pPr>
                                <w:bookmarkStart w:id="10" w:name="bmRijksLogo" w:colFirst="0" w:colLast="0"/>
                                <w:r>
                                  <w:rPr>
                                    <w:noProof/>
                                  </w:rPr>
                                  <w:drawing>
                                    <wp:inline distT="0" distB="0" distL="0" distR="0" wp14:anchorId="13088C94" wp14:editId="4A05CBC7">
                                      <wp:extent cx="466725" cy="1333500"/>
                                      <wp:effectExtent l="19050" t="0" r="9525" b="0"/>
                                      <wp:docPr id="21" name="Afbeelding 2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3AD23EC7" w14:textId="77777777" w:rsidR="00427195" w:rsidRDefault="00427195">
                                <w:pPr>
                                  <w:spacing w:line="240" w:lineRule="auto"/>
                                  <w:rPr>
                                    <w:rFonts w:ascii="Times New Roman" w:hAnsi="Times New Roman"/>
                                    <w:sz w:val="24"/>
                                  </w:rPr>
                                </w:pPr>
                              </w:p>
                            </w:tc>
                          </w:tr>
                          <w:bookmarkEnd w:id="10"/>
                        </w:tbl>
                        <w:p w14:paraId="742A5F9A" w14:textId="77777777" w:rsidR="00427195" w:rsidRDefault="004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F8D24" id="Text Box 56" o:spid="_x0000_s1028"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14:paraId="2EBF18E2" w14:textId="77777777">
                      <w:trPr>
                        <w:trHeight w:val="2140"/>
                      </w:trPr>
                      <w:tc>
                        <w:tcPr>
                          <w:tcW w:w="737" w:type="dxa"/>
                        </w:tcPr>
                        <w:p w14:paraId="05A234DA" w14:textId="77777777" w:rsidR="00427195" w:rsidRDefault="00F60F4E">
                          <w:pPr>
                            <w:spacing w:line="240" w:lineRule="auto"/>
                          </w:pPr>
                          <w:bookmarkStart w:id="11" w:name="bmRijksLogo" w:colFirst="0" w:colLast="0"/>
                          <w:r>
                            <w:rPr>
                              <w:noProof/>
                            </w:rPr>
                            <w:drawing>
                              <wp:inline distT="0" distB="0" distL="0" distR="0" wp14:anchorId="13088C94" wp14:editId="4A05CBC7">
                                <wp:extent cx="466725" cy="1333500"/>
                                <wp:effectExtent l="19050" t="0" r="9525" b="0"/>
                                <wp:docPr id="21" name="Afbeelding 2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3AD23EC7" w14:textId="77777777" w:rsidR="00427195" w:rsidRDefault="00427195">
                          <w:pPr>
                            <w:spacing w:line="240" w:lineRule="auto"/>
                            <w:rPr>
                              <w:rFonts w:ascii="Times New Roman" w:hAnsi="Times New Roman"/>
                              <w:sz w:val="24"/>
                            </w:rPr>
                          </w:pPr>
                        </w:p>
                      </w:tc>
                    </w:tr>
                    <w:bookmarkEnd w:id="11"/>
                  </w:tbl>
                  <w:p w14:paraId="742A5F9A" w14:textId="77777777" w:rsidR="00427195" w:rsidRDefault="0042719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F03D93"/>
    <w:multiLevelType w:val="hybridMultilevel"/>
    <w:tmpl w:val="D864ED38"/>
    <w:lvl w:ilvl="0" w:tplc="319A42F6">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A6C73"/>
    <w:multiLevelType w:val="hybridMultilevel"/>
    <w:tmpl w:val="7408E8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12113E8"/>
    <w:multiLevelType w:val="hybridMultilevel"/>
    <w:tmpl w:val="C68EB0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554A8"/>
    <w:multiLevelType w:val="hybridMultilevel"/>
    <w:tmpl w:val="AB80EBB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E711117"/>
    <w:multiLevelType w:val="hybridMultilevel"/>
    <w:tmpl w:val="C7FA568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6"/>
  </w:num>
  <w:num w:numId="14">
    <w:abstractNumId w:val="13"/>
  </w:num>
  <w:num w:numId="15">
    <w:abstractNumId w:val="18"/>
  </w:num>
  <w:num w:numId="16">
    <w:abstractNumId w:val="17"/>
  </w:num>
  <w:num w:numId="17">
    <w:abstractNumId w:val="11"/>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88"/>
    <w:rsid w:val="000339A2"/>
    <w:rsid w:val="00036888"/>
    <w:rsid w:val="00233298"/>
    <w:rsid w:val="002E672E"/>
    <w:rsid w:val="0033285B"/>
    <w:rsid w:val="003D50BE"/>
    <w:rsid w:val="003F1694"/>
    <w:rsid w:val="00427195"/>
    <w:rsid w:val="005D2FF2"/>
    <w:rsid w:val="00725AB0"/>
    <w:rsid w:val="007E43D8"/>
    <w:rsid w:val="007E5988"/>
    <w:rsid w:val="0086281A"/>
    <w:rsid w:val="00867EF7"/>
    <w:rsid w:val="00B12AB9"/>
    <w:rsid w:val="00B215B1"/>
    <w:rsid w:val="00CC3864"/>
    <w:rsid w:val="00CD7FAE"/>
    <w:rsid w:val="00EE06F6"/>
    <w:rsid w:val="00F60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29AB2758"/>
  <w15:docId w15:val="{B79CE7E7-0E94-4C6A-991E-6072D183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6888"/>
    <w:pPr>
      <w:spacing w:after="160" w:line="259" w:lineRule="auto"/>
    </w:pPr>
    <w:rPr>
      <w:rFonts w:asciiTheme="minorHAnsi" w:eastAsiaTheme="minorHAnsi" w:hAnsiTheme="minorHAnsi" w:cstheme="minorBidi"/>
      <w:sz w:val="22"/>
      <w:szCs w:val="22"/>
      <w:lang w:val="en-GB"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uiPriority w:val="99"/>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uiPriority w:val="99"/>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styleId="Lijstalinea">
    <w:name w:val="List Paragraph"/>
    <w:aliases w:val="Lista viñetas,Viñetas (Inicio Parrafo),Bullet List,Παράγραφος λίστας,Heading 2_sj,Chapter Subheaders,Kilder,Referncias,Corpo"/>
    <w:basedOn w:val="Standaard"/>
    <w:link w:val="LijstalineaChar"/>
    <w:uiPriority w:val="34"/>
    <w:qFormat/>
    <w:rsid w:val="00036888"/>
    <w:pPr>
      <w:ind w:left="720"/>
      <w:contextualSpacing/>
    </w:pPr>
  </w:style>
  <w:style w:type="character" w:styleId="Verwijzingopmerking">
    <w:name w:val="annotation reference"/>
    <w:basedOn w:val="Standaardalinea-lettertype"/>
    <w:unhideWhenUsed/>
    <w:rsid w:val="00036888"/>
    <w:rPr>
      <w:sz w:val="16"/>
      <w:szCs w:val="16"/>
    </w:rPr>
  </w:style>
  <w:style w:type="character" w:customStyle="1" w:styleId="VoetnoottekstChar">
    <w:name w:val="Voetnoottekst Char"/>
    <w:basedOn w:val="Standaardalinea-lettertype"/>
    <w:link w:val="Voetnoottekst"/>
    <w:uiPriority w:val="99"/>
    <w:rsid w:val="00036888"/>
    <w:rPr>
      <w:rFonts w:ascii="Verdana" w:hAnsi="Verdana"/>
      <w:sz w:val="13"/>
    </w:rPr>
  </w:style>
  <w:style w:type="character" w:customStyle="1" w:styleId="LijstalineaChar">
    <w:name w:val="Lijstalinea Char"/>
    <w:aliases w:val="Lista viñetas Char,Viñetas (Inicio Parrafo) Char,Bullet List Char,Παράγραφος λίστας Char,Heading 2_sj Char,Chapter Subheaders Char,Kilder Char,Referncias Char,Corpo Char"/>
    <w:basedOn w:val="Standaardalinea-lettertype"/>
    <w:link w:val="Lijstalinea"/>
    <w:uiPriority w:val="34"/>
    <w:rsid w:val="00036888"/>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RijksBlancoStaand</Template>
  <TotalTime>3</TotalTime>
  <Pages>5</Pages>
  <Words>1225</Words>
  <Characters>6351</Characters>
  <Application>Microsoft Office Word</Application>
  <DocSecurity>0</DocSecurity>
  <Lines>52</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Jong-Aerts, ir. J.N. de (Jane)</dc:creator>
  <cp:lastModifiedBy>Solanki, M.R. (Mina)</cp:lastModifiedBy>
  <cp:revision>3</cp:revision>
  <cp:lastPrinted>2009-05-11T11:10:00Z</cp:lastPrinted>
  <dcterms:created xsi:type="dcterms:W3CDTF">2022-08-02T12:01:00Z</dcterms:created>
  <dcterms:modified xsi:type="dcterms:W3CDTF">2022-08-09T15:21:00Z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2022-08-02T11:47:22Z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2ee0e162-183d-4831-b55c-e449ce03571c</vt:lpwstr>
  </property>
  <property fmtid="{D5CDD505-2E9C-101B-9397-08002B2CF9AE}" pid="11" name="MSIP_Label_4bde8109-f994-4a60-a1d3-5c95e2ff3620_ContentBits">
    <vt:lpwstr>0</vt:lpwstr>
  </property>
</Properties>
</file>