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EC6F" w14:textId="6034F6AB" w:rsidR="00036888" w:rsidRDefault="00036888" w:rsidP="00036888">
      <w:pPr>
        <w:shd w:val="clear" w:color="auto" w:fill="FFFFFF"/>
        <w:spacing w:after="360" w:line="240" w:lineRule="auto"/>
        <w:jc w:val="center"/>
        <w:outlineLvl w:val="2"/>
        <w:rPr>
          <w:rFonts w:ascii="Verdana" w:hAnsi="Verdana"/>
          <w:b/>
          <w:bCs/>
          <w:sz w:val="18"/>
          <w:szCs w:val="18"/>
        </w:rPr>
      </w:pPr>
      <w:bookmarkStart w:id="0" w:name="bmTitel" w:colFirst="0" w:colLast="0"/>
      <w:r w:rsidRPr="00FF4F3A">
        <w:rPr>
          <w:rFonts w:ascii="Verdana" w:hAnsi="Verdana"/>
          <w:b/>
          <w:bCs/>
          <w:sz w:val="18"/>
          <w:szCs w:val="18"/>
        </w:rPr>
        <w:t>Threshold criteria concerning the applicant</w:t>
      </w:r>
    </w:p>
    <w:p w14:paraId="64F061E3" w14:textId="74E83FB7" w:rsidR="00036888" w:rsidRDefault="00036888" w:rsidP="00036888">
      <w:pPr>
        <w:shd w:val="clear" w:color="auto" w:fill="FFFFFF"/>
        <w:spacing w:after="360" w:line="240" w:lineRule="auto"/>
        <w:jc w:val="center"/>
        <w:outlineLvl w:val="2"/>
        <w:rPr>
          <w:rFonts w:ascii="Verdana" w:hAnsi="Verdana"/>
          <w:b/>
          <w:bCs/>
          <w:sz w:val="18"/>
          <w:szCs w:val="18"/>
        </w:rPr>
      </w:pPr>
    </w:p>
    <w:p w14:paraId="3B1999FB" w14:textId="6AE7D8B5" w:rsidR="00036888" w:rsidRPr="007E7400" w:rsidRDefault="00036888" w:rsidP="00036888">
      <w:pPr>
        <w:shd w:val="clear" w:color="auto" w:fill="FFFFFF"/>
        <w:spacing w:after="360" w:line="240" w:lineRule="auto"/>
        <w:jc w:val="center"/>
        <w:outlineLvl w:val="2"/>
        <w:rPr>
          <w:rFonts w:ascii="Verdana" w:eastAsia="Times New Roman" w:hAnsi="Verdana" w:cstheme="minorHAnsi"/>
          <w:b/>
          <w:bCs/>
          <w:sz w:val="18"/>
          <w:szCs w:val="18"/>
          <w:lang w:val="en-US"/>
        </w:rPr>
      </w:pPr>
      <w:r w:rsidRPr="00FF4F3A">
        <w:rPr>
          <w:rFonts w:ascii="Verdana" w:hAnsi="Verdana"/>
          <w:b/>
          <w:bCs/>
          <w:sz w:val="18"/>
          <w:szCs w:val="18"/>
        </w:rPr>
        <w:t>Threshold criteria concerning the application</w:t>
      </w:r>
    </w:p>
    <w:p w14:paraId="0CE15229" w14:textId="77777777" w:rsidR="00036888" w:rsidRPr="00036888" w:rsidRDefault="00036888" w:rsidP="00036888">
      <w:pPr>
        <w:shd w:val="clear" w:color="auto" w:fill="FFFFFF"/>
        <w:spacing w:after="360" w:line="240" w:lineRule="auto"/>
        <w:outlineLvl w:val="2"/>
        <w:rPr>
          <w:rFonts w:ascii="Verdana" w:eastAsia="Times New Roman" w:hAnsi="Verdana" w:cstheme="minorHAnsi"/>
          <w:sz w:val="18"/>
          <w:szCs w:val="18"/>
          <w:lang w:val="en-US"/>
        </w:rPr>
      </w:pPr>
    </w:p>
    <w:p w14:paraId="5C04079A" w14:textId="77777777" w:rsidR="00036888" w:rsidRDefault="00036888">
      <w:pPr>
        <w:spacing w:after="0" w:line="240" w:lineRule="auto"/>
        <w:rPr>
          <w:rFonts w:ascii="Verdana" w:hAnsi="Verdana"/>
          <w:b/>
          <w:bCs/>
          <w:sz w:val="18"/>
          <w:szCs w:val="18"/>
        </w:rPr>
      </w:pPr>
      <w:r>
        <w:rPr>
          <w:rFonts w:ascii="Verdana" w:hAnsi="Verdana"/>
          <w:b/>
          <w:bCs/>
          <w:sz w:val="18"/>
          <w:szCs w:val="18"/>
        </w:rPr>
        <w:br w:type="page"/>
      </w:r>
    </w:p>
    <w:p w14:paraId="2EB3FBBB" w14:textId="387E2FFE" w:rsidR="00036888" w:rsidRPr="00FF4F3A" w:rsidRDefault="00036888" w:rsidP="00036888">
      <w:pPr>
        <w:shd w:val="clear" w:color="auto" w:fill="FFFFFF"/>
        <w:spacing w:after="360" w:line="240" w:lineRule="auto"/>
        <w:outlineLvl w:val="2"/>
        <w:rPr>
          <w:rFonts w:ascii="Verdana" w:eastAsia="Times New Roman" w:hAnsi="Verdana" w:cstheme="minorHAnsi"/>
          <w:sz w:val="18"/>
          <w:szCs w:val="18"/>
        </w:rPr>
      </w:pPr>
      <w:r>
        <w:rPr>
          <w:rFonts w:ascii="Verdana" w:hAnsi="Verdana"/>
          <w:b/>
          <w:bCs/>
          <w:sz w:val="18"/>
          <w:szCs w:val="18"/>
        </w:rPr>
        <w:lastRenderedPageBreak/>
        <w:t xml:space="preserve">Threshold </w:t>
      </w:r>
      <w:r w:rsidRPr="00FF4F3A">
        <w:rPr>
          <w:rFonts w:ascii="Verdana" w:hAnsi="Verdana"/>
          <w:b/>
          <w:bCs/>
          <w:sz w:val="18"/>
          <w:szCs w:val="18"/>
        </w:rPr>
        <w:t>criteria concerning the applicant</w:t>
      </w:r>
    </w:p>
    <w:p w14:paraId="32D85329" w14:textId="6C5F26A5" w:rsidR="00036888" w:rsidRPr="00036888" w:rsidRDefault="00036888" w:rsidP="00036888">
      <w:pPr>
        <w:pStyle w:val="Lijstalinea"/>
        <w:numPr>
          <w:ilvl w:val="0"/>
          <w:numId w:val="16"/>
        </w:numPr>
        <w:shd w:val="clear" w:color="auto" w:fill="FFFFFF"/>
        <w:spacing w:before="120" w:after="120" w:line="240" w:lineRule="auto"/>
        <w:ind w:left="357" w:hanging="357"/>
        <w:contextualSpacing w:val="0"/>
        <w:rPr>
          <w:rFonts w:ascii="Verdana" w:eastAsia="Times New Roman" w:hAnsi="Verdana" w:cstheme="minorHAnsi"/>
          <w:sz w:val="18"/>
          <w:szCs w:val="18"/>
        </w:rPr>
      </w:pPr>
      <w:r w:rsidRPr="00036888">
        <w:rPr>
          <w:rFonts w:ascii="Verdana" w:hAnsi="Verdana"/>
          <w:sz w:val="18"/>
          <w:szCs w:val="18"/>
        </w:rPr>
        <w:t>The applicant is a non-profit organisation with legal personality that carries out its activities in a partnership involving public</w:t>
      </w:r>
      <w:r w:rsidRPr="00FF4F3A">
        <w:rPr>
          <w:rStyle w:val="Voetnootmarkering"/>
          <w:rFonts w:ascii="Verdana" w:eastAsia="Times New Roman" w:hAnsi="Verdana" w:cstheme="minorHAnsi"/>
          <w:sz w:val="18"/>
          <w:szCs w:val="18"/>
          <w:lang w:eastAsia="nl-NL"/>
        </w:rPr>
        <w:footnoteReference w:id="1"/>
      </w:r>
      <w:r w:rsidRPr="00036888">
        <w:rPr>
          <w:rFonts w:ascii="Verdana" w:hAnsi="Verdana"/>
          <w:sz w:val="18"/>
          <w:szCs w:val="18"/>
        </w:rPr>
        <w:t xml:space="preserve"> and private</w:t>
      </w:r>
      <w:r w:rsidRPr="00FF4F3A">
        <w:rPr>
          <w:rStyle w:val="Voetnootmarkering"/>
          <w:rFonts w:ascii="Verdana" w:eastAsia="Times New Roman" w:hAnsi="Verdana" w:cstheme="minorHAnsi"/>
          <w:sz w:val="18"/>
          <w:szCs w:val="18"/>
          <w:lang w:eastAsia="nl-NL"/>
        </w:rPr>
        <w:footnoteReference w:id="2"/>
      </w:r>
      <w:r w:rsidRPr="00036888">
        <w:rPr>
          <w:rFonts w:ascii="Verdana" w:hAnsi="Verdana"/>
          <w:sz w:val="18"/>
          <w:szCs w:val="18"/>
        </w:rPr>
        <w:t xml:space="preserve"> partners and whose objective is to pool knowledge and expertise in order to work efficiently and effectively on the development and/or improvement and accessibility of effective, safe, affordable and demand-driven products to promote sexual and reproductive health and/or products to prevent and combat poverty-related diseases and conditions</w:t>
      </w:r>
      <w:r w:rsidRPr="00FF4F3A">
        <w:rPr>
          <w:rStyle w:val="Voetnootmarkering"/>
          <w:rFonts w:ascii="Verdana" w:eastAsia="Times New Roman" w:hAnsi="Verdana" w:cstheme="minorHAnsi"/>
          <w:sz w:val="18"/>
          <w:szCs w:val="18"/>
          <w:lang w:eastAsia="nl-NL"/>
        </w:rPr>
        <w:footnoteReference w:id="3"/>
      </w:r>
      <w:r w:rsidRPr="00036888">
        <w:rPr>
          <w:rFonts w:ascii="Verdana" w:hAnsi="Verdana"/>
          <w:sz w:val="18"/>
          <w:szCs w:val="18"/>
        </w:rPr>
        <w:t xml:space="preserve"> and/or products to prevent and combat new and recurring epidemics that primarily affect people in financially vulnerable situations in LICs and MICs, that are not being developed commercially due to market failure. </w:t>
      </w:r>
    </w:p>
    <w:p w14:paraId="55EB6B15" w14:textId="6C5F26A5" w:rsidR="00036888" w:rsidRPr="00FF4F3A" w:rsidRDefault="00036888" w:rsidP="00036888">
      <w:pPr>
        <w:pStyle w:val="Lijstalinea"/>
        <w:numPr>
          <w:ilvl w:val="0"/>
          <w:numId w:val="16"/>
        </w:numPr>
        <w:shd w:val="clear" w:color="auto" w:fill="FFFFFF"/>
        <w:spacing w:before="120" w:after="120" w:line="240" w:lineRule="auto"/>
        <w:ind w:left="357" w:hanging="357"/>
        <w:contextualSpacing w:val="0"/>
        <w:rPr>
          <w:rFonts w:ascii="Verdana" w:eastAsia="Times New Roman" w:hAnsi="Verdana" w:cstheme="minorHAnsi"/>
          <w:sz w:val="18"/>
          <w:szCs w:val="18"/>
        </w:rPr>
      </w:pPr>
      <w:r w:rsidRPr="00FF4F3A">
        <w:rPr>
          <w:rFonts w:ascii="Verdana" w:hAnsi="Verdana"/>
          <w:sz w:val="18"/>
          <w:szCs w:val="18"/>
        </w:rPr>
        <w:t>The applicant is financed by more than one donor. Donors can be drawn from different sectors, such as the public or private sector</w:t>
      </w:r>
      <w:r w:rsidRPr="00FF4F3A">
        <w:rPr>
          <w:rStyle w:val="Voetnootmarkering"/>
          <w:rFonts w:ascii="Verdana" w:eastAsia="Times New Roman" w:hAnsi="Verdana" w:cstheme="minorHAnsi"/>
          <w:sz w:val="18"/>
          <w:szCs w:val="18"/>
          <w:lang w:eastAsia="nl-NL"/>
        </w:rPr>
        <w:footnoteReference w:id="4"/>
      </w:r>
      <w:r w:rsidRPr="00FF4F3A">
        <w:rPr>
          <w:rFonts w:ascii="Verdana" w:hAnsi="Verdana"/>
          <w:sz w:val="18"/>
          <w:szCs w:val="18"/>
        </w:rPr>
        <w:t xml:space="preserve"> and NGOs.</w:t>
      </w:r>
    </w:p>
    <w:p w14:paraId="4377E13E" w14:textId="77777777" w:rsidR="00036888" w:rsidRPr="00FF4F3A" w:rsidRDefault="00036888" w:rsidP="00036888">
      <w:pPr>
        <w:pStyle w:val="Lijstalinea"/>
        <w:numPr>
          <w:ilvl w:val="0"/>
          <w:numId w:val="16"/>
        </w:numPr>
        <w:shd w:val="clear" w:color="auto" w:fill="FFFFFF"/>
        <w:spacing w:before="120" w:after="120" w:line="240" w:lineRule="auto"/>
        <w:ind w:left="357" w:hanging="357"/>
        <w:contextualSpacing w:val="0"/>
        <w:rPr>
          <w:rFonts w:ascii="Verdana" w:eastAsia="Times New Roman" w:hAnsi="Verdana" w:cstheme="minorHAnsi"/>
          <w:sz w:val="18"/>
          <w:szCs w:val="18"/>
        </w:rPr>
      </w:pPr>
      <w:r w:rsidRPr="00FF4F3A">
        <w:rPr>
          <w:rFonts w:ascii="Verdana" w:hAnsi="Verdana"/>
          <w:sz w:val="18"/>
          <w:szCs w:val="18"/>
        </w:rPr>
        <w:t>The applicant must demonstrate that at least 25% of its total annual income in the period from 1 January 2019 to 31 December 2021 inclusive</w:t>
      </w:r>
      <w:r>
        <w:rPr>
          <w:rFonts w:ascii="Verdana" w:hAnsi="Verdana"/>
          <w:sz w:val="18"/>
          <w:szCs w:val="18"/>
        </w:rPr>
        <w:t>,</w:t>
      </w:r>
      <w:r w:rsidRPr="00FF4F3A">
        <w:rPr>
          <w:rFonts w:ascii="Verdana" w:hAnsi="Verdana"/>
          <w:sz w:val="18"/>
          <w:szCs w:val="18"/>
        </w:rPr>
        <w:t xml:space="preserve"> came from sources other than direct grants and/or contributions from the Ministry of Foreign Affairs. Funds which are directly or indirectly obtained from the budget of the Ministry of Foreign Affairs (for example, a grant or contribution from a Dutch embassy) do not count when determining the extent of the applicant’s own income, but do count towards its total annual income. </w:t>
      </w:r>
    </w:p>
    <w:p w14:paraId="6908CE7A" w14:textId="77777777" w:rsidR="00036888" w:rsidRPr="00FF4F3A" w:rsidRDefault="00036888" w:rsidP="00036888">
      <w:pPr>
        <w:pStyle w:val="Lijstalinea"/>
        <w:numPr>
          <w:ilvl w:val="0"/>
          <w:numId w:val="16"/>
        </w:numPr>
        <w:shd w:val="clear" w:color="auto" w:fill="FFFFFF"/>
        <w:spacing w:before="120" w:after="120" w:line="240" w:lineRule="auto"/>
        <w:ind w:left="357" w:hanging="357"/>
        <w:contextualSpacing w:val="0"/>
        <w:rPr>
          <w:rFonts w:ascii="Verdana" w:eastAsia="Times New Roman" w:hAnsi="Verdana" w:cstheme="minorHAnsi"/>
          <w:sz w:val="18"/>
          <w:szCs w:val="18"/>
        </w:rPr>
      </w:pPr>
      <w:r w:rsidRPr="00FF4F3A">
        <w:rPr>
          <w:rFonts w:ascii="Verdana" w:hAnsi="Verdana"/>
          <w:sz w:val="18"/>
          <w:szCs w:val="18"/>
        </w:rPr>
        <w:t xml:space="preserve">The applicant is capable of proper financial management and its expertise can ensure effective and efficient implementation of activities like those for which grant funding is requested. </w:t>
      </w:r>
    </w:p>
    <w:p w14:paraId="11E61F0D" w14:textId="77777777" w:rsidR="00036888" w:rsidRPr="00036888" w:rsidRDefault="00036888" w:rsidP="00036888">
      <w:pPr>
        <w:pStyle w:val="Lijstalinea"/>
        <w:numPr>
          <w:ilvl w:val="0"/>
          <w:numId w:val="16"/>
        </w:numPr>
        <w:shd w:val="clear" w:color="auto" w:fill="FFFFFF"/>
        <w:spacing w:before="120" w:after="120" w:line="240" w:lineRule="auto"/>
        <w:ind w:left="357" w:hanging="357"/>
        <w:contextualSpacing w:val="0"/>
      </w:pPr>
      <w:r w:rsidRPr="00FF4F3A">
        <w:rPr>
          <w:rFonts w:ascii="Verdana" w:hAnsi="Verdana"/>
          <w:sz w:val="18"/>
          <w:szCs w:val="18"/>
        </w:rPr>
        <w:t>The applicant has an access strategy or policy that at a minimum covers intellectual property, product registration, distribution and pricing, in order to ensure that the (final) products are affordable</w:t>
      </w:r>
      <w:r w:rsidRPr="00FF4F3A">
        <w:rPr>
          <w:rStyle w:val="Voetnootmarkering"/>
          <w:rFonts w:ascii="Verdana" w:eastAsia="Times New Roman" w:hAnsi="Verdana" w:cstheme="minorHAnsi"/>
          <w:sz w:val="18"/>
          <w:szCs w:val="18"/>
          <w:lang w:eastAsia="nl-NL"/>
        </w:rPr>
        <w:footnoteReference w:id="5"/>
      </w:r>
      <w:r w:rsidRPr="00FF4F3A">
        <w:rPr>
          <w:rFonts w:ascii="Verdana" w:hAnsi="Verdana"/>
          <w:sz w:val="18"/>
          <w:szCs w:val="18"/>
        </w:rPr>
        <w:t xml:space="preserve"> and accessible to the target group(s) in LICs and MICs.</w:t>
      </w:r>
    </w:p>
    <w:p w14:paraId="320C3926" w14:textId="06DBC589" w:rsidR="00036888" w:rsidRDefault="00036888" w:rsidP="00036888">
      <w:pPr>
        <w:pStyle w:val="Lijstalinea"/>
        <w:numPr>
          <w:ilvl w:val="0"/>
          <w:numId w:val="16"/>
        </w:numPr>
        <w:shd w:val="clear" w:color="auto" w:fill="FFFFFF"/>
        <w:spacing w:before="120" w:after="120" w:line="240" w:lineRule="auto"/>
        <w:ind w:left="357" w:hanging="357"/>
        <w:contextualSpacing w:val="0"/>
        <w:rPr>
          <w:rFonts w:ascii="Verdana" w:hAnsi="Verdana"/>
          <w:sz w:val="18"/>
          <w:szCs w:val="18"/>
        </w:rPr>
      </w:pPr>
      <w:bookmarkStart w:id="1" w:name="d16e493"/>
      <w:bookmarkEnd w:id="1"/>
      <w:r w:rsidRPr="00FF4F3A">
        <w:rPr>
          <w:rFonts w:ascii="Verdana" w:hAnsi="Verdana"/>
          <w:sz w:val="18"/>
          <w:szCs w:val="18"/>
        </w:rPr>
        <w:t xml:space="preserve">The applicant has adopted an integrity policy and put in place procedures to implement it. This integrity policy and these procedures are intended to prevent as much as possible any sexual misconduct and other serious forms of inappropriate behaviour towards employees and other individuals during the implementation of the proposed activities by the applicant and any other parties they involve in the activities, and in the event of such incidents, to investigate and take appropriate measures to put an end as promptly as possible to the misconduct or inappropriate behaviour and mitigate the consequences. These procedures must be structured in a way that guarantees prompt reporting of any such incidents to the </w:t>
      </w:r>
      <w:r w:rsidR="00ED5CCA">
        <w:rPr>
          <w:rFonts w:ascii="Verdana" w:hAnsi="Verdana"/>
          <w:sz w:val="18"/>
          <w:szCs w:val="18"/>
        </w:rPr>
        <w:t>m</w:t>
      </w:r>
      <w:r w:rsidRPr="00FF4F3A">
        <w:rPr>
          <w:rFonts w:ascii="Verdana" w:hAnsi="Verdana"/>
          <w:sz w:val="18"/>
          <w:szCs w:val="18"/>
        </w:rPr>
        <w:t>iniste</w:t>
      </w:r>
      <w:r>
        <w:rPr>
          <w:rFonts w:ascii="Verdana" w:hAnsi="Verdana"/>
          <w:sz w:val="18"/>
          <w:szCs w:val="18"/>
        </w:rPr>
        <w:t>r</w:t>
      </w:r>
    </w:p>
    <w:p w14:paraId="64E39930" w14:textId="080A9135" w:rsidR="00036888" w:rsidRDefault="00036888">
      <w:pPr>
        <w:spacing w:after="0" w:line="240" w:lineRule="auto"/>
        <w:rPr>
          <w:rFonts w:ascii="Verdana" w:hAnsi="Verdana"/>
          <w:sz w:val="18"/>
          <w:szCs w:val="18"/>
        </w:rPr>
      </w:pPr>
      <w:r>
        <w:rPr>
          <w:rFonts w:ascii="Verdana" w:hAnsi="Verdana"/>
          <w:sz w:val="18"/>
          <w:szCs w:val="18"/>
        </w:rPr>
        <w:br w:type="page"/>
      </w:r>
    </w:p>
    <w:p w14:paraId="0A78BD81" w14:textId="080A9135" w:rsidR="00036888" w:rsidRPr="007E7400" w:rsidRDefault="00036888" w:rsidP="00036888">
      <w:pPr>
        <w:shd w:val="clear" w:color="auto" w:fill="FFFFFF"/>
        <w:spacing w:after="360" w:line="240" w:lineRule="auto"/>
        <w:outlineLvl w:val="2"/>
        <w:rPr>
          <w:rFonts w:ascii="Verdana" w:eastAsia="Times New Roman" w:hAnsi="Verdana" w:cstheme="minorHAnsi"/>
          <w:b/>
          <w:bCs/>
          <w:sz w:val="18"/>
          <w:szCs w:val="18"/>
          <w:lang w:val="en-US"/>
        </w:rPr>
      </w:pPr>
      <w:r w:rsidRPr="00FF4F3A">
        <w:rPr>
          <w:rFonts w:ascii="Verdana" w:hAnsi="Verdana"/>
          <w:b/>
          <w:bCs/>
          <w:sz w:val="18"/>
          <w:szCs w:val="18"/>
        </w:rPr>
        <w:lastRenderedPageBreak/>
        <w:t>Threshold criteria concerning the application</w:t>
      </w:r>
    </w:p>
    <w:p w14:paraId="550AA307" w14:textId="77777777"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The application focuses on PDP IV’s principal objective and at least one of the three themes described in section III.</w:t>
      </w:r>
    </w:p>
    <w:p w14:paraId="141D20FB" w14:textId="77777777"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The activities for which grant funding is requested are aligned with the geographical focus and cover the stages of the product development cycle envisaged by PDP IV and target the group described in section V.</w:t>
      </w:r>
    </w:p>
    <w:p w14:paraId="3C870411" w14:textId="77777777"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The applicant must demonstrate that the market has failed or the risk of market failure is high, resulting in a need for public financing.</w:t>
      </w:r>
      <w:r w:rsidRPr="00036888">
        <w:rPr>
          <w:rFonts w:ascii="Verdana" w:hAnsi="Verdana"/>
          <w:sz w:val="18"/>
          <w:szCs w:val="18"/>
        </w:rPr>
        <w:t> </w:t>
      </w:r>
    </w:p>
    <w:p w14:paraId="22B3D393" w14:textId="77777777"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 xml:space="preserve">The application concerns activities that run from 1 </w:t>
      </w:r>
      <w:r w:rsidRPr="00601D3A">
        <w:rPr>
          <w:rFonts w:ascii="Verdana" w:hAnsi="Verdana"/>
          <w:sz w:val="18"/>
          <w:szCs w:val="18"/>
        </w:rPr>
        <w:t>December 2022 to 1 December 2027</w:t>
      </w:r>
      <w:r w:rsidRPr="00FF4F3A">
        <w:rPr>
          <w:rFonts w:ascii="Verdana" w:hAnsi="Verdana"/>
          <w:sz w:val="18"/>
          <w:szCs w:val="18"/>
        </w:rPr>
        <w:t xml:space="preserve">. </w:t>
      </w:r>
    </w:p>
    <w:p w14:paraId="67C8683F" w14:textId="77777777"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The total grant requested for the five-year period covered by the application is at least €14 million and no more than €21 million.</w:t>
      </w:r>
    </w:p>
    <w:p w14:paraId="0E541B6C" w14:textId="77777777"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No previous grant derived from the Ministry of Foreign Affairs’ budget has been awarded for the activities for which grant funding is requested.</w:t>
      </w:r>
    </w:p>
    <w:p w14:paraId="4BACAC3D" w14:textId="77777777"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Under article 9 of the Ministry of Foreign Affairs Grants Decree, a grant will be refused if the application is submitted after the activities have started.</w:t>
      </w:r>
      <w:r w:rsidRPr="00036888">
        <w:footnoteReference w:id="6"/>
      </w:r>
      <w:r w:rsidRPr="00FF4F3A">
        <w:rPr>
          <w:rFonts w:ascii="Verdana" w:hAnsi="Verdana"/>
          <w:sz w:val="18"/>
          <w:szCs w:val="18"/>
        </w:rPr>
        <w:t xml:space="preserve"> </w:t>
      </w:r>
    </w:p>
    <w:p w14:paraId="41232D10" w14:textId="3A588E3B"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If the grant is requested for an ongoing product development cycle or for a product development cycle (or part thereof) for which a grant has previously been awarded, the activities for which a PDP IV grant is requested must concern a clearly delimited part of the product development cycle that can be clearly distinguished by its nature or timing from the part of the product development cycle that has already been started or has already received grant funding</w:t>
      </w:r>
    </w:p>
    <w:p w14:paraId="7F7EDD0A" w14:textId="7C3FC81F" w:rsidR="0033285B" w:rsidRDefault="0033285B">
      <w:pPr>
        <w:rPr>
          <w:szCs w:val="18"/>
        </w:rPr>
      </w:pPr>
      <w:bookmarkStart w:id="2" w:name="bmBegin"/>
      <w:bookmarkEnd w:id="0"/>
      <w:bookmarkEnd w:id="2"/>
    </w:p>
    <w:sectPr w:rsidR="0033285B" w:rsidSect="007E5988">
      <w:headerReference w:type="even" r:id="rId7"/>
      <w:headerReference w:type="default" r:id="rId8"/>
      <w:footerReference w:type="even" r:id="rId9"/>
      <w:footerReference w:type="default" r:id="rId10"/>
      <w:headerReference w:type="first" r:id="rId11"/>
      <w:footerReference w:type="first" r:id="rId12"/>
      <w:pgSz w:w="11906" w:h="16838" w:code="9"/>
      <w:pgMar w:top="2398" w:right="567" w:bottom="1418" w:left="1559" w:header="239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0256" w14:textId="77777777" w:rsidR="00036888" w:rsidRDefault="00036888">
      <w:r>
        <w:separator/>
      </w:r>
    </w:p>
    <w:p w14:paraId="637D8FBB" w14:textId="77777777" w:rsidR="00036888" w:rsidRDefault="00036888"/>
  </w:endnote>
  <w:endnote w:type="continuationSeparator" w:id="0">
    <w:p w14:paraId="0E6AA365" w14:textId="77777777" w:rsidR="00036888" w:rsidRDefault="00036888">
      <w:r>
        <w:continuationSeparator/>
      </w:r>
    </w:p>
    <w:p w14:paraId="2C0B09B9" w14:textId="77777777" w:rsidR="00036888" w:rsidRDefault="00036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B881" w14:textId="16473D33" w:rsidR="00427195" w:rsidRDefault="00427195">
    <w:pPr>
      <w:pStyle w:val="Voettekst"/>
    </w:pPr>
  </w:p>
  <w:p w14:paraId="62BC129D" w14:textId="77777777" w:rsidR="00427195" w:rsidRDefault="00427195"/>
  <w:tbl>
    <w:tblPr>
      <w:tblW w:w="9900" w:type="dxa"/>
      <w:tblLayout w:type="fixed"/>
      <w:tblCellMar>
        <w:left w:w="0" w:type="dxa"/>
        <w:right w:w="0" w:type="dxa"/>
      </w:tblCellMar>
      <w:tblLook w:val="0000" w:firstRow="0" w:lastRow="0" w:firstColumn="0" w:lastColumn="0" w:noHBand="0" w:noVBand="0"/>
    </w:tblPr>
    <w:tblGrid>
      <w:gridCol w:w="7752"/>
      <w:gridCol w:w="2148"/>
    </w:tblGrid>
    <w:tr w:rsidR="00427195" w14:paraId="2BD7CD5B" w14:textId="77777777">
      <w:trPr>
        <w:trHeight w:hRule="exact" w:val="240"/>
      </w:trPr>
      <w:tc>
        <w:tcPr>
          <w:tcW w:w="7752" w:type="dxa"/>
        </w:tcPr>
        <w:p w14:paraId="6423047F" w14:textId="77777777" w:rsidR="00427195" w:rsidRDefault="00427195">
          <w:pPr>
            <w:pStyle w:val="Huisstijl-Rubricering"/>
          </w:pPr>
          <w:r>
            <w:t>VERTROUWELIJK</w:t>
          </w:r>
        </w:p>
      </w:tc>
      <w:tc>
        <w:tcPr>
          <w:tcW w:w="2148" w:type="dxa"/>
        </w:tcPr>
        <w:p w14:paraId="2E7078D2"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E7C6" w14:textId="20AFE093" w:rsidR="00427195" w:rsidRDefault="00233298">
    <w:pPr>
      <w:pStyle w:val="Voettekst"/>
      <w:spacing w:line="240" w:lineRule="auto"/>
      <w:rPr>
        <w:sz w:val="2"/>
        <w:szCs w:val="2"/>
      </w:rPr>
    </w:pPr>
    <w:r>
      <w:rPr>
        <w:noProof/>
        <w:sz w:val="2"/>
        <w:szCs w:val="2"/>
      </w:rPr>
      <mc:AlternateContent>
        <mc:Choice Requires="wps">
          <w:drawing>
            <wp:anchor distT="0" distB="0" distL="114300" distR="114300" simplePos="0" relativeHeight="251659264" behindDoc="0" locked="0" layoutInCell="1" allowOverlap="1" wp14:anchorId="49E144C9" wp14:editId="62189FAB">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8"/>
                            <w:gridCol w:w="140"/>
                            <w:gridCol w:w="188"/>
                            <w:gridCol w:w="1448"/>
                          </w:tblGrid>
                          <w:tr w:rsidR="00427195" w14:paraId="37BA321B" w14:textId="77777777">
                            <w:tc>
                              <w:tcPr>
                                <w:tcW w:w="360" w:type="dxa"/>
                                <w:noWrap/>
                                <w:tcMar>
                                  <w:left w:w="0" w:type="dxa"/>
                                  <w:right w:w="57" w:type="dxa"/>
                                </w:tcMar>
                              </w:tcPr>
                              <w:p w14:paraId="77BC3B0C" w14:textId="77777777" w:rsidR="00427195" w:rsidRDefault="00427195">
                                <w:pPr>
                                  <w:pStyle w:val="Huisstijl-Gegeven"/>
                                </w:pPr>
                                <w:bookmarkStart w:id="3" w:name="bmPag2" w:colFirst="0" w:colLast="0"/>
                                <w:bookmarkStart w:id="4" w:name="bmPagVan2" w:colFirst="2" w:colLast="2"/>
                              </w:p>
                            </w:tc>
                            <w:tc>
                              <w:tcPr>
                                <w:tcW w:w="113" w:type="dxa"/>
                                <w:noWrap/>
                                <w:tcMar>
                                  <w:left w:w="0" w:type="dxa"/>
                                  <w:right w:w="57" w:type="dxa"/>
                                </w:tcMar>
                              </w:tcPr>
                              <w:p w14:paraId="0B3230C7" w14:textId="77777777" w:rsidR="00427195" w:rsidRDefault="00427195">
                                <w:pPr>
                                  <w:pStyle w:val="Huisstijl-Gegeven"/>
                                </w:pP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p>
                            </w:tc>
                            <w:tc>
                              <w:tcPr>
                                <w:tcW w:w="180" w:type="dxa"/>
                                <w:noWrap/>
                                <w:tcMar>
                                  <w:left w:w="0" w:type="dxa"/>
                                  <w:right w:w="57" w:type="dxa"/>
                                </w:tcMar>
                              </w:tcPr>
                              <w:p w14:paraId="1F85E7AF" w14:textId="41896878" w:rsidR="00427195" w:rsidRDefault="00ED5CCA">
                                <w:pPr>
                                  <w:pStyle w:val="Huisstijl-Gegeven"/>
                                </w:pPr>
                                <w:r>
                                  <w:t>of</w:t>
                                </w:r>
                              </w:p>
                            </w:tc>
                            <w:tc>
                              <w:tcPr>
                                <w:tcW w:w="1440" w:type="dxa"/>
                                <w:noWrap/>
                                <w:tcMar>
                                  <w:left w:w="0" w:type="dxa"/>
                                  <w:right w:w="57" w:type="dxa"/>
                                </w:tcMar>
                              </w:tcPr>
                              <w:p w14:paraId="6F15F08D" w14:textId="77777777" w:rsidR="00427195" w:rsidRDefault="00036888">
                                <w:pPr>
                                  <w:pStyle w:val="Huisstijl-Gegeven"/>
                                </w:pPr>
                                <w:fldSimple w:instr=" NUMPAGES   \* MERGEFORMAT ">
                                  <w:r w:rsidR="00427195">
                                    <w:t>1</w:t>
                                  </w:r>
                                </w:fldSimple>
                              </w:p>
                            </w:tc>
                          </w:tr>
                          <w:bookmarkEnd w:id="3"/>
                          <w:bookmarkEnd w:id="4"/>
                        </w:tbl>
                        <w:p w14:paraId="7D210A66" w14:textId="77777777" w:rsidR="00427195" w:rsidRDefault="00427195"/>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144C9" id="_x0000_t202" coordsize="21600,21600" o:spt="202" path="m,l,21600r21600,l21600,xe">
              <v:stroke joinstyle="miter"/>
              <v:path gradientshapeok="t" o:connecttype="rect"/>
            </v:shapetype>
            <v:shape id="Text Box 71" o:spid="_x0000_s1026"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8m8gEAAL8DAAAOAAAAZHJzL2Uyb0RvYy54bWysU8Fu2zAMvQ/YPwi6L46DJG2NOEXXosOA&#10;bh3Q7gNkWbKF2aJGKbGzrx8lJ1m33YpeBIqiH997pDfXY9+xvUJvwJY8n805U1ZCbWxT8u/P9x8u&#10;OfNB2Fp0YFXJD8rz6+37d5vBFWoBLXS1QkYg1heDK3kbgiuyzMtW9cLPwClLjxqwF4Gu2GQ1ioHQ&#10;+y5bzOfrbACsHYJU3lP2bnrk24SvtZLhUWuvAutKTtxCOjGdVTyz7UYUDQrXGnmkIV7BohfGUtMz&#10;1J0Igu3Q/AfVG4ngQYeZhD4DrY1USQOpyef/qHlqhVNJC5nj3dkm/3aw8uv+GzJTl3zNmRU9jehZ&#10;jYF9hJFd5NGewfmCqp4c1YWR8jTmJNW7B5A/PLNw2wrbqBtEGFolaqKXvsxefDrh+AhSDV+gpj5i&#10;FyABjRr76B25wQidxnQ4jyZykbHlarleLFacSXrLry7zRZpdJorT1w59+KSgZzEoOdLoE7rYP/hA&#10;Oqj0VBKbWbg3XZfG39m/ElQYM4l9JDxRD2M1Ht2ooD6QDoRpm2j7KWgBf3E20CaV3P/cCVScdZ8t&#10;eRHX7hRgCq7y5ZKyVbosVxekhQkrCaLk4RTehmlNdw5N01KHyXULN+SbNklSNHhic+RLW5KUHjc6&#10;ruHLe6r6899tfwMAAP//AwBQSwMEFAAGAAgAAAAhAL5TnK7mAAAADgEAAA8AAABkcnMvZG93bnJl&#10;di54bWxMj09Lw0AQxe+C32EZwZvdNKmJidmU4h+QQpFWEb1tsmMSkt0N2W0av73Tk97m8X68eS9f&#10;z7pnE46utUbAchEAQ1NZ1ZpawPvb880dMOelUbK3BgX8oIN1cXmRy0zZk9njdPA1oxDjMimg8X7I&#10;OHdVg1q6hR3QkPdtRy09ybHmapQnCtc9D4Mg5lq2hj40csCHBqvucNQCNtHj1OF2t3rdpdHX5377&#10;9FG+dEJcX82be2AeZ/8Hw7k+VYeCOpX2aJRjvYA0TFNCybhNYlp1RpZJtAJW0hUHSQi8yPn/GcUv&#10;AAAA//8DAFBLAQItABQABgAIAAAAIQC2gziS/gAAAOEBAAATAAAAAAAAAAAAAAAAAAAAAABbQ29u&#10;dGVudF9UeXBlc10ueG1sUEsBAi0AFAAGAAgAAAAhADj9If/WAAAAlAEAAAsAAAAAAAAAAAAAAAAA&#10;LwEAAF9yZWxzLy5yZWxzUEsBAi0AFAAGAAgAAAAhACSrbybyAQAAvwMAAA4AAAAAAAAAAAAAAAAA&#10;LgIAAGRycy9lMm9Eb2MueG1sUEsBAi0AFAAGAAgAAAAhAL5TnK7mAAAADgEAAA8AAAAAAAAAAAAA&#10;AAAATAQAAGRycy9kb3ducmV2LnhtbFBLBQYAAAAABAAEAPMAAABfBQAAAAA=&#10;" filled="f" stroked="f">
              <v:textbox inset="0,0">
                <w:txbxContent>
                  <w:tbl>
                    <w:tblPr>
                      <w:tblW w:w="0" w:type="auto"/>
                      <w:tblLook w:val="01E0" w:firstRow="1" w:lastRow="1" w:firstColumn="1" w:lastColumn="1" w:noHBand="0" w:noVBand="0"/>
                    </w:tblPr>
                    <w:tblGrid>
                      <w:gridCol w:w="368"/>
                      <w:gridCol w:w="140"/>
                      <w:gridCol w:w="188"/>
                      <w:gridCol w:w="1448"/>
                    </w:tblGrid>
                    <w:tr w:rsidR="00427195" w14:paraId="37BA321B" w14:textId="77777777">
                      <w:tc>
                        <w:tcPr>
                          <w:tcW w:w="360" w:type="dxa"/>
                          <w:noWrap/>
                          <w:tcMar>
                            <w:left w:w="0" w:type="dxa"/>
                            <w:right w:w="57" w:type="dxa"/>
                          </w:tcMar>
                        </w:tcPr>
                        <w:p w14:paraId="77BC3B0C" w14:textId="77777777" w:rsidR="00427195" w:rsidRDefault="00427195">
                          <w:pPr>
                            <w:pStyle w:val="Huisstijl-Gegeven"/>
                          </w:pPr>
                          <w:bookmarkStart w:id="5" w:name="bmPag2" w:colFirst="0" w:colLast="0"/>
                          <w:bookmarkStart w:id="6" w:name="bmPagVan2" w:colFirst="2" w:colLast="2"/>
                        </w:p>
                      </w:tc>
                      <w:tc>
                        <w:tcPr>
                          <w:tcW w:w="113" w:type="dxa"/>
                          <w:noWrap/>
                          <w:tcMar>
                            <w:left w:w="0" w:type="dxa"/>
                            <w:right w:w="57" w:type="dxa"/>
                          </w:tcMar>
                        </w:tcPr>
                        <w:p w14:paraId="0B3230C7" w14:textId="77777777" w:rsidR="00427195" w:rsidRDefault="00427195">
                          <w:pPr>
                            <w:pStyle w:val="Huisstijl-Gegeven"/>
                          </w:pP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p>
                      </w:tc>
                      <w:tc>
                        <w:tcPr>
                          <w:tcW w:w="180" w:type="dxa"/>
                          <w:noWrap/>
                          <w:tcMar>
                            <w:left w:w="0" w:type="dxa"/>
                            <w:right w:w="57" w:type="dxa"/>
                          </w:tcMar>
                        </w:tcPr>
                        <w:p w14:paraId="1F85E7AF" w14:textId="41896878" w:rsidR="00427195" w:rsidRDefault="00ED5CCA">
                          <w:pPr>
                            <w:pStyle w:val="Huisstijl-Gegeven"/>
                          </w:pPr>
                          <w:r>
                            <w:t>of</w:t>
                          </w:r>
                        </w:p>
                      </w:tc>
                      <w:tc>
                        <w:tcPr>
                          <w:tcW w:w="1440" w:type="dxa"/>
                          <w:noWrap/>
                          <w:tcMar>
                            <w:left w:w="0" w:type="dxa"/>
                            <w:right w:w="57" w:type="dxa"/>
                          </w:tcMar>
                        </w:tcPr>
                        <w:p w14:paraId="6F15F08D" w14:textId="77777777" w:rsidR="00427195" w:rsidRDefault="00036888">
                          <w:pPr>
                            <w:pStyle w:val="Huisstijl-Gegeven"/>
                          </w:pPr>
                          <w:fldSimple w:instr=" NUMPAGES   \* MERGEFORMAT ">
                            <w:r w:rsidR="00427195">
                              <w:t>1</w:t>
                            </w:r>
                          </w:fldSimple>
                        </w:p>
                      </w:tc>
                    </w:tr>
                    <w:bookmarkEnd w:id="5"/>
                    <w:bookmarkEnd w:id="6"/>
                  </w:tbl>
                  <w:p w14:paraId="7D210A66" w14:textId="77777777" w:rsidR="00427195" w:rsidRDefault="00427195"/>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98AF" w14:textId="0F148145" w:rsidR="00427195" w:rsidRDefault="00233298">
    <w:pPr>
      <w:pStyle w:val="Voettekst"/>
      <w:spacing w:line="240" w:lineRule="auto"/>
      <w:rPr>
        <w:szCs w:val="18"/>
      </w:rPr>
    </w:pPr>
    <w:r>
      <w:rPr>
        <w:noProof/>
        <w:szCs w:val="18"/>
      </w:rPr>
      <mc:AlternateContent>
        <mc:Choice Requires="wps">
          <w:drawing>
            <wp:anchor distT="0" distB="0" distL="114300" distR="114300" simplePos="0" relativeHeight="251656192" behindDoc="0" locked="0" layoutInCell="1" allowOverlap="1" wp14:anchorId="2224C86D" wp14:editId="7829D423">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196"/>
                            <w:gridCol w:w="1363"/>
                          </w:tblGrid>
                          <w:tr w:rsidR="00427195" w14:paraId="63753C2F" w14:textId="77777777">
                            <w:tc>
                              <w:tcPr>
                                <w:tcW w:w="368" w:type="dxa"/>
                                <w:noWrap/>
                                <w:tcMar>
                                  <w:left w:w="0" w:type="dxa"/>
                                  <w:right w:w="57" w:type="dxa"/>
                                </w:tcMar>
                              </w:tcPr>
                              <w:p w14:paraId="31A431EF" w14:textId="77777777" w:rsidR="00427195" w:rsidRDefault="00427195">
                                <w:pPr>
                                  <w:pStyle w:val="Huisstijl-Gegeven"/>
                                </w:pPr>
                                <w:bookmarkStart w:id="11" w:name="bmPag" w:colFirst="0" w:colLast="0"/>
                                <w:bookmarkStart w:id="12" w:name="bmPagVan" w:colFirst="2" w:colLast="2"/>
                              </w:p>
                            </w:tc>
                            <w:tc>
                              <w:tcPr>
                                <w:tcW w:w="140" w:type="dxa"/>
                                <w:noWrap/>
                                <w:tcMar>
                                  <w:left w:w="0" w:type="dxa"/>
                                  <w:right w:w="57" w:type="dxa"/>
                                </w:tcMar>
                              </w:tcPr>
                              <w:p w14:paraId="031C671C" w14:textId="77777777" w:rsidR="00427195" w:rsidRDefault="00427195">
                                <w:pPr>
                                  <w:pStyle w:val="Huisstijl-Gegeven"/>
                                </w:pP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E672E">
                                  <w:rPr>
                                    <w:rStyle w:val="Huisstijl-GegevenCharChar"/>
                                  </w:rPr>
                                  <w:t>1</w:t>
                                </w:r>
                                <w:r>
                                  <w:rPr>
                                    <w:rStyle w:val="Huisstijl-GegevenCharChar"/>
                                  </w:rPr>
                                  <w:fldChar w:fldCharType="end"/>
                                </w:r>
                              </w:p>
                            </w:tc>
                            <w:tc>
                              <w:tcPr>
                                <w:tcW w:w="188" w:type="dxa"/>
                                <w:noWrap/>
                                <w:tcMar>
                                  <w:left w:w="0" w:type="dxa"/>
                                  <w:right w:w="28" w:type="dxa"/>
                                </w:tcMar>
                              </w:tcPr>
                              <w:p w14:paraId="73AC4302" w14:textId="4DC7107F" w:rsidR="00427195" w:rsidRDefault="00ED5CCA">
                                <w:pPr>
                                  <w:pStyle w:val="Huisstijl-Gegeven"/>
                                </w:pPr>
                                <w:r>
                                  <w:t>of</w:t>
                                </w:r>
                              </w:p>
                            </w:tc>
                            <w:tc>
                              <w:tcPr>
                                <w:tcW w:w="1355" w:type="dxa"/>
                                <w:noWrap/>
                                <w:tcMar>
                                  <w:left w:w="0" w:type="dxa"/>
                                  <w:right w:w="57" w:type="dxa"/>
                                </w:tcMar>
                              </w:tcPr>
                              <w:p w14:paraId="32939984" w14:textId="77777777" w:rsidR="00427195" w:rsidRDefault="00725AB0">
                                <w:pPr>
                                  <w:pStyle w:val="Huisstijl-Gegeven"/>
                                </w:pPr>
                                <w:r>
                                  <w:fldChar w:fldCharType="begin"/>
                                </w:r>
                                <w:r>
                                  <w:instrText xml:space="preserve"> NUMPAGES  </w:instrText>
                                </w:r>
                                <w:r>
                                  <w:fldChar w:fldCharType="separate"/>
                                </w:r>
                                <w:r w:rsidR="002E672E">
                                  <w:t>1</w:t>
                                </w:r>
                                <w:r>
                                  <w:fldChar w:fldCharType="end"/>
                                </w:r>
                              </w:p>
                            </w:tc>
                          </w:tr>
                          <w:bookmarkEnd w:id="11"/>
                          <w:bookmarkEnd w:id="12"/>
                        </w:tbl>
                        <w:p w14:paraId="2392D21C" w14:textId="77777777" w:rsidR="00427195" w:rsidRDefault="00427195"/>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4C86D" id="_x0000_t202" coordsize="21600,21600" o:spt="202" path="m,l,21600r21600,l21600,xe">
              <v:stroke joinstyle="miter"/>
              <v:path gradientshapeok="t" o:connecttype="rect"/>
            </v:shapetype>
            <v:shape id="Text Box 46" o:spid="_x0000_s1029"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nQ9wEAAMoDAAAOAAAAZHJzL2Uyb0RvYy54bWysU8Fu2zAMvQ/YPwi6L3bSNEuNOEXXosOA&#10;rhvQ7gMYWY6F2aJGKbGzrx8lJ2m33YZdBJKiHh8fqdX10LVir8kbtKWcTnIptFVYGbst5bfn+3dL&#10;KXwAW0GLVpfyoL28Xr99s+pdoWfYYFtpEgxifdG7UjYhuCLLvGp0B36CTlu+rJE6COzSNqsIekbv&#10;2myW54usR6ocodLec/RuvJTrhF/XWoUvde11EG0pmVtIJ6VzE89svYJiS+Aao4404B9YdGAsFz1D&#10;3UEAsSPzF1RnFKHHOkwUdhnWtVE69cDdTPM/unlqwOnUC4vj3Vkm//9g1eP+KwlTlfJCCgsdj+hZ&#10;D0F8wEHMF1Ge3vmCs54c54WB4zzm1Kp3D6i+e2HxtgG71TdE2DcaKqY3jS+zV09HHB9BNv1nrLgO&#10;7AImoKGmLmrHaghG5zEdzqOJXFQsOV9eXuV8pfhuNlsu2I4loDi9duTDR42diEYpiUef0GH/4MOY&#10;ekqJxSzem7blOBSt/S3AmDGS2EfCI/UwbIajTvwodrbB6sDtEI5LxZ+AjQbppxQ9L1Qp/Y8dkJai&#10;/WRZkgumHDcwOWxQMq6m8zk7m+TML9/P2AGrGKaU4WTehnFjd47MtuEq4wAs3rCEtUndvTA6UueF&#10;Sfoclztu5Gs/Zb18wfUvAAAA//8DAFBLAwQUAAYACAAAACEAGowMTOQAAAAOAQAADwAAAGRycy9k&#10;b3ducmV2LnhtbEyPS0/DMBCE70j8B2uRuFHnQUIJcSpA4oDEhYJUuLnJ5gHxOo2dNvDruz3BbXdn&#10;NPtNvppNL/Y4us6SgnARgEAqbdVRo+D97elqCcJ5TZXuLaGCH3SwKs7Pcp1V9kCvuF/7RnAIuUwr&#10;aL0fMild2aLRbmEHJNZqOxrteR0bWY36wOGml1EQpNLojvhDqwd8bLH8Xk9GQfmSPM9fm9ruuoff&#10;ZNrE6Wf9sVPq8mK+vwPhcfZ/ZjjhMzoUzLS1E1VO9Apuo+uIrSwkN2kM4mQJkyXftjylYRSDLHL5&#10;v0ZxBAAA//8DAFBLAQItABQABgAIAAAAIQC2gziS/gAAAOEBAAATAAAAAAAAAAAAAAAAAAAAAABb&#10;Q29udGVudF9UeXBlc10ueG1sUEsBAi0AFAAGAAgAAAAhADj9If/WAAAAlAEAAAsAAAAAAAAAAAAA&#10;AAAALwEAAF9yZWxzLy5yZWxzUEsBAi0AFAAGAAgAAAAhACgQGdD3AQAAygMAAA4AAAAAAAAAAAAA&#10;AAAALgIAAGRycy9lMm9Eb2MueG1sUEsBAi0AFAAGAAgAAAAhABqMDEzkAAAADgEAAA8AAAAAAAAA&#10;AAAAAAAAUQQAAGRycy9kb3ducmV2LnhtbFBLBQYAAAAABAAEAPMAAABiBQAAAAA=&#10;" filled="f" stroked="f">
              <v:textbox inset="1mm,0">
                <w:txbxContent>
                  <w:tbl>
                    <w:tblPr>
                      <w:tblW w:w="0" w:type="auto"/>
                      <w:tblLook w:val="01E0" w:firstRow="1" w:lastRow="1" w:firstColumn="1" w:lastColumn="1" w:noHBand="0" w:noVBand="0"/>
                    </w:tblPr>
                    <w:tblGrid>
                      <w:gridCol w:w="376"/>
                      <w:gridCol w:w="148"/>
                      <w:gridCol w:w="196"/>
                      <w:gridCol w:w="1363"/>
                    </w:tblGrid>
                    <w:tr w:rsidR="00427195" w14:paraId="63753C2F" w14:textId="77777777">
                      <w:tc>
                        <w:tcPr>
                          <w:tcW w:w="368" w:type="dxa"/>
                          <w:noWrap/>
                          <w:tcMar>
                            <w:left w:w="0" w:type="dxa"/>
                            <w:right w:w="57" w:type="dxa"/>
                          </w:tcMar>
                        </w:tcPr>
                        <w:p w14:paraId="31A431EF" w14:textId="77777777" w:rsidR="00427195" w:rsidRDefault="00427195">
                          <w:pPr>
                            <w:pStyle w:val="Huisstijl-Gegeven"/>
                          </w:pPr>
                          <w:bookmarkStart w:id="13" w:name="bmPag" w:colFirst="0" w:colLast="0"/>
                          <w:bookmarkStart w:id="14" w:name="bmPagVan" w:colFirst="2" w:colLast="2"/>
                        </w:p>
                      </w:tc>
                      <w:tc>
                        <w:tcPr>
                          <w:tcW w:w="140" w:type="dxa"/>
                          <w:noWrap/>
                          <w:tcMar>
                            <w:left w:w="0" w:type="dxa"/>
                            <w:right w:w="57" w:type="dxa"/>
                          </w:tcMar>
                        </w:tcPr>
                        <w:p w14:paraId="031C671C" w14:textId="77777777" w:rsidR="00427195" w:rsidRDefault="00427195">
                          <w:pPr>
                            <w:pStyle w:val="Huisstijl-Gegeven"/>
                          </w:pP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E672E">
                            <w:rPr>
                              <w:rStyle w:val="Huisstijl-GegevenCharChar"/>
                            </w:rPr>
                            <w:t>1</w:t>
                          </w:r>
                          <w:r>
                            <w:rPr>
                              <w:rStyle w:val="Huisstijl-GegevenCharChar"/>
                            </w:rPr>
                            <w:fldChar w:fldCharType="end"/>
                          </w:r>
                        </w:p>
                      </w:tc>
                      <w:tc>
                        <w:tcPr>
                          <w:tcW w:w="188" w:type="dxa"/>
                          <w:noWrap/>
                          <w:tcMar>
                            <w:left w:w="0" w:type="dxa"/>
                            <w:right w:w="28" w:type="dxa"/>
                          </w:tcMar>
                        </w:tcPr>
                        <w:p w14:paraId="73AC4302" w14:textId="4DC7107F" w:rsidR="00427195" w:rsidRDefault="00ED5CCA">
                          <w:pPr>
                            <w:pStyle w:val="Huisstijl-Gegeven"/>
                          </w:pPr>
                          <w:r>
                            <w:t>of</w:t>
                          </w:r>
                        </w:p>
                      </w:tc>
                      <w:tc>
                        <w:tcPr>
                          <w:tcW w:w="1355" w:type="dxa"/>
                          <w:noWrap/>
                          <w:tcMar>
                            <w:left w:w="0" w:type="dxa"/>
                            <w:right w:w="57" w:type="dxa"/>
                          </w:tcMar>
                        </w:tcPr>
                        <w:p w14:paraId="32939984" w14:textId="77777777" w:rsidR="00427195" w:rsidRDefault="00725AB0">
                          <w:pPr>
                            <w:pStyle w:val="Huisstijl-Gegeven"/>
                          </w:pPr>
                          <w:r>
                            <w:fldChar w:fldCharType="begin"/>
                          </w:r>
                          <w:r>
                            <w:instrText xml:space="preserve"> NUMPAGES  </w:instrText>
                          </w:r>
                          <w:r>
                            <w:fldChar w:fldCharType="separate"/>
                          </w:r>
                          <w:r w:rsidR="002E672E">
                            <w:t>1</w:t>
                          </w:r>
                          <w:r>
                            <w:fldChar w:fldCharType="end"/>
                          </w:r>
                        </w:p>
                      </w:tc>
                    </w:tr>
                    <w:bookmarkEnd w:id="13"/>
                    <w:bookmarkEnd w:id="14"/>
                  </w:tbl>
                  <w:p w14:paraId="2392D21C" w14:textId="77777777" w:rsidR="00427195" w:rsidRDefault="0042719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2F2F" w14:textId="77777777" w:rsidR="00036888" w:rsidRDefault="00036888">
      <w:r>
        <w:separator/>
      </w:r>
    </w:p>
    <w:p w14:paraId="347CF0F2" w14:textId="77777777" w:rsidR="00036888" w:rsidRDefault="00036888"/>
  </w:footnote>
  <w:footnote w:type="continuationSeparator" w:id="0">
    <w:p w14:paraId="48FC7DC5" w14:textId="77777777" w:rsidR="00036888" w:rsidRDefault="00036888">
      <w:r>
        <w:continuationSeparator/>
      </w:r>
    </w:p>
    <w:p w14:paraId="1971C051" w14:textId="77777777" w:rsidR="00036888" w:rsidRDefault="00036888"/>
  </w:footnote>
  <w:footnote w:id="1">
    <w:p w14:paraId="2FF25752" w14:textId="77777777" w:rsidR="00036888" w:rsidRPr="002D7369" w:rsidRDefault="00036888" w:rsidP="00036888">
      <w:pPr>
        <w:pStyle w:val="Voetnoottekst"/>
        <w:spacing w:after="60" w:line="240" w:lineRule="auto"/>
        <w:rPr>
          <w:rFonts w:ascii="Verdana" w:hAnsi="Verdana"/>
          <w:sz w:val="16"/>
          <w:szCs w:val="16"/>
        </w:rPr>
      </w:pPr>
      <w:r w:rsidRPr="00036888">
        <w:rPr>
          <w:rStyle w:val="Voetnootmarkering"/>
          <w:rFonts w:ascii="Verdana" w:hAnsi="Verdana"/>
          <w:sz w:val="18"/>
          <w:szCs w:val="18"/>
        </w:rPr>
        <w:footnoteRef/>
      </w:r>
      <w:r w:rsidRPr="00036888">
        <w:rPr>
          <w:rFonts w:ascii="Verdana" w:hAnsi="Verdana"/>
          <w:sz w:val="18"/>
          <w:szCs w:val="18"/>
        </w:rPr>
        <w:t xml:space="preserve"> </w:t>
      </w:r>
      <w:r>
        <w:rPr>
          <w:rFonts w:ascii="Verdana" w:hAnsi="Verdana"/>
          <w:sz w:val="16"/>
          <w:szCs w:val="16"/>
        </w:rPr>
        <w:t>These could be government or semi-government organisations (including research organisations).</w:t>
      </w:r>
    </w:p>
  </w:footnote>
  <w:footnote w:id="2">
    <w:p w14:paraId="7F0CB5A2" w14:textId="77777777" w:rsidR="00036888" w:rsidRPr="00277FA4" w:rsidRDefault="00036888" w:rsidP="00036888">
      <w:pPr>
        <w:pStyle w:val="Voetnoottekst"/>
        <w:spacing w:after="60" w:line="240" w:lineRule="auto"/>
        <w:rPr>
          <w:sz w:val="16"/>
          <w:szCs w:val="16"/>
        </w:rPr>
      </w:pPr>
      <w:r w:rsidRPr="00036888">
        <w:rPr>
          <w:rStyle w:val="Voetnootmarkering"/>
          <w:rFonts w:ascii="Verdana" w:hAnsi="Verdana"/>
          <w:sz w:val="18"/>
          <w:szCs w:val="18"/>
        </w:rPr>
        <w:footnoteRef/>
      </w:r>
      <w:r w:rsidRPr="00036888">
        <w:rPr>
          <w:rStyle w:val="Voetnootmarkering"/>
          <w:sz w:val="18"/>
          <w:szCs w:val="18"/>
        </w:rPr>
        <w:t xml:space="preserve"> </w:t>
      </w:r>
      <w:r>
        <w:rPr>
          <w:rFonts w:ascii="Verdana" w:hAnsi="Verdana"/>
          <w:sz w:val="16"/>
          <w:szCs w:val="16"/>
        </w:rPr>
        <w:t>These could be either for-profit organisations or non-profit organisations such as funds (including research organisations).</w:t>
      </w:r>
    </w:p>
  </w:footnote>
  <w:footnote w:id="3">
    <w:p w14:paraId="25A107AE" w14:textId="77777777" w:rsidR="00036888" w:rsidRPr="00D1429E" w:rsidRDefault="00036888" w:rsidP="00036888">
      <w:pPr>
        <w:pStyle w:val="Voetnoottekst"/>
        <w:spacing w:after="60" w:line="240" w:lineRule="auto"/>
      </w:pPr>
      <w:r>
        <w:rPr>
          <w:rStyle w:val="Voetnootmarkering"/>
        </w:rPr>
        <w:footnoteRef/>
      </w:r>
      <w:r>
        <w:t xml:space="preserve"> </w:t>
      </w:r>
      <w:r>
        <w:rPr>
          <w:rFonts w:ascii="Verdana" w:hAnsi="Verdana"/>
          <w:sz w:val="16"/>
          <w:szCs w:val="16"/>
        </w:rPr>
        <w:t>HIV/AIDS, tuberculosis (TB), malaria and neglected tropical diseases. See: https://www.who.int/health-topics/neglected-tropical-diseases#tab=tab_1</w:t>
      </w:r>
    </w:p>
  </w:footnote>
  <w:footnote w:id="4">
    <w:p w14:paraId="2DB0738E" w14:textId="77777777" w:rsidR="00036888" w:rsidRPr="00A63EB4" w:rsidRDefault="00036888" w:rsidP="00036888">
      <w:pPr>
        <w:pStyle w:val="Voetnoottekst"/>
        <w:spacing w:after="60" w:line="240" w:lineRule="auto"/>
        <w:rPr>
          <w:sz w:val="16"/>
          <w:szCs w:val="16"/>
        </w:rPr>
      </w:pPr>
      <w:r w:rsidRPr="00036888">
        <w:rPr>
          <w:rStyle w:val="Voetnootmarkering"/>
          <w:rFonts w:ascii="Verdana" w:hAnsi="Verdana"/>
          <w:sz w:val="18"/>
          <w:szCs w:val="18"/>
        </w:rPr>
        <w:footnoteRef/>
      </w:r>
      <w:r w:rsidRPr="00036888">
        <w:rPr>
          <w:rStyle w:val="Voetnootmarkering"/>
          <w:sz w:val="18"/>
          <w:szCs w:val="18"/>
        </w:rPr>
        <w:t xml:space="preserve"> </w:t>
      </w:r>
      <w:r>
        <w:rPr>
          <w:rFonts w:ascii="Verdana" w:hAnsi="Verdana"/>
          <w:sz w:val="16"/>
          <w:szCs w:val="16"/>
        </w:rPr>
        <w:t>These could be either for-profit organisations, or non-profit organisations such as funds.</w:t>
      </w:r>
    </w:p>
  </w:footnote>
  <w:footnote w:id="5">
    <w:p w14:paraId="654DE427" w14:textId="77777777" w:rsidR="00036888" w:rsidRPr="004F2C61" w:rsidRDefault="00036888" w:rsidP="00036888">
      <w:pPr>
        <w:pStyle w:val="Voetnoottekst"/>
        <w:spacing w:after="60" w:line="240" w:lineRule="auto"/>
        <w:rPr>
          <w:rFonts w:ascii="Verdana" w:hAnsi="Verdana"/>
          <w:sz w:val="16"/>
          <w:szCs w:val="16"/>
        </w:rPr>
      </w:pPr>
      <w:r w:rsidRPr="00036888">
        <w:rPr>
          <w:rStyle w:val="Voetnootmarkering"/>
          <w:rFonts w:ascii="Verdana" w:hAnsi="Verdana"/>
          <w:sz w:val="18"/>
          <w:szCs w:val="18"/>
        </w:rPr>
        <w:footnoteRef/>
      </w:r>
      <w:r>
        <w:rPr>
          <w:rFonts w:ascii="Verdana" w:hAnsi="Verdana"/>
          <w:sz w:val="16"/>
          <w:szCs w:val="16"/>
        </w:rPr>
        <w:t xml:space="preserve"> Keeping the ultimate costs for the end user as low as possible.</w:t>
      </w:r>
    </w:p>
  </w:footnote>
  <w:footnote w:id="6">
    <w:p w14:paraId="725540C0" w14:textId="77777777" w:rsidR="00036888" w:rsidRPr="00A73EDF" w:rsidRDefault="00036888" w:rsidP="00036888">
      <w:pPr>
        <w:pStyle w:val="Voetnoottekst"/>
        <w:rPr>
          <w:rFonts w:ascii="Verdana" w:hAnsi="Verdana"/>
          <w:sz w:val="16"/>
          <w:szCs w:val="16"/>
        </w:rPr>
      </w:pPr>
      <w:r w:rsidRPr="00036888">
        <w:rPr>
          <w:rStyle w:val="Voetnootmarkering"/>
          <w:rFonts w:ascii="Verdana" w:hAnsi="Verdana"/>
          <w:sz w:val="18"/>
          <w:szCs w:val="18"/>
        </w:rPr>
        <w:footnoteRef/>
      </w:r>
      <w:r>
        <w:rPr>
          <w:rFonts w:ascii="Verdana" w:hAnsi="Verdana"/>
          <w:sz w:val="16"/>
          <w:szCs w:val="16"/>
        </w:rPr>
        <w:t xml:space="preserve"> It should be noted that any activities that take place before the application is submitted in preparation for the activities for which a grant is requested will not in themselves result in rejection of the application. However, if the application is approved, the costs of those preparatory activities will not be eligible for grant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9BAA" w14:textId="57486340" w:rsidR="00427195" w:rsidRDefault="00427195">
    <w:pPr>
      <w:pStyle w:val="Koptekst"/>
    </w:pPr>
  </w:p>
  <w:p w14:paraId="1B68AC1E"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73DC" w14:textId="7ACAF5E6" w:rsidR="00427195" w:rsidRDefault="00427195">
    <w:pPr>
      <w:spacing w:line="200" w:lineRule="exact"/>
    </w:pPr>
  </w:p>
  <w:p w14:paraId="4DC38E1F" w14:textId="77777777" w:rsidR="00427195" w:rsidRDefault="00427195">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ACF2" w14:textId="26112526" w:rsidR="00427195" w:rsidRDefault="00427195">
    <w:pPr>
      <w:pStyle w:val="Koptekst"/>
    </w:pPr>
  </w:p>
  <w:p w14:paraId="6E39958E" w14:textId="77777777" w:rsidR="00427195" w:rsidRDefault="00233298">
    <w:pPr>
      <w:pStyle w:val="Koptekst"/>
    </w:pPr>
    <w:r>
      <w:rPr>
        <w:noProof/>
      </w:rPr>
      <mc:AlternateContent>
        <mc:Choice Requires="wps">
          <w:drawing>
            <wp:anchor distT="0" distB="0" distL="114300" distR="114300" simplePos="0" relativeHeight="251657216" behindDoc="0" locked="0" layoutInCell="1" allowOverlap="1" wp14:anchorId="0C915837" wp14:editId="3EF1E15D">
              <wp:simplePos x="0" y="0"/>
              <wp:positionH relativeFrom="page">
                <wp:posOffset>4050665</wp:posOffset>
              </wp:positionH>
              <wp:positionV relativeFrom="page">
                <wp:posOffset>-25400</wp:posOffset>
              </wp:positionV>
              <wp:extent cx="3568700" cy="1590675"/>
              <wp:effectExtent l="2540" t="3175" r="635" b="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14:paraId="63004BB9" w14:textId="77777777">
                            <w:trPr>
                              <w:trHeight w:val="1787"/>
                            </w:trPr>
                            <w:tc>
                              <w:tcPr>
                                <w:tcW w:w="4788" w:type="dxa"/>
                                <w:tcBorders>
                                  <w:top w:val="nil"/>
                                  <w:left w:val="nil"/>
                                  <w:bottom w:val="nil"/>
                                  <w:right w:val="nil"/>
                                </w:tcBorders>
                              </w:tcPr>
                              <w:p w14:paraId="40F06FDD" w14:textId="77777777" w:rsidR="00427195" w:rsidRDefault="00427195">
                                <w:bookmarkStart w:id="7" w:name="bmLintregel1" w:colFirst="0" w:colLast="1"/>
                              </w:p>
                            </w:tc>
                          </w:tr>
                          <w:bookmarkEnd w:id="7"/>
                        </w:tbl>
                        <w:p w14:paraId="1D65DB44" w14:textId="77777777" w:rsidR="00427195" w:rsidRDefault="004271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15837" id="_x0000_t202" coordsize="21600,21600" o:spt="202" path="m,l,21600r21600,l21600,xe">
              <v:stroke joinstyle="miter"/>
              <v:path gradientshapeok="t" o:connecttype="rect"/>
            </v:shapetype>
            <v:shape id="Text Box 62" o:spid="_x0000_s1027"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sl7QEAAL8DAAAOAAAAZHJzL2Uyb0RvYy54bWysU9tu2zAMfR+wfxD0vtjJkLQ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qlFBY6btGj&#10;HoL4iINYLaI9vfMFVz04rgsD57nNSap396h+emHxpgG709dE2DcaKqY3jzezZ1dHHB9Btv0XrPgd&#10;2AdMQENNXfSO3RCMzm06nlsTuShOvl+uLi9yPlJ8Nl9+yFcXy/QGFNN1Rz580tiJGJSSuPcJHg73&#10;PkQ6UEwl8TWLd6ZtU/9b+1eCC2Mm0Y+MR+5h2A7JqKQtSttidWQ9hONU8S/goEH6LUXPE1VK/2sP&#10;pKVoP1v2JI7fFNAUbKcArOKrpQxSjOFNGMd078jsGkYeXbd4zb7VJil6YnGiy1OShJ4mOo7h832q&#10;evp3mz8AAAD//wMAUEsDBBQABgAIAAAAIQDVBf5y4QAAAAsBAAAPAAAAZHJzL2Rvd25yZXYueG1s&#10;TI9NT8MwDIbvSPyHyEjctnQfFFqaTtMEJyREVw4c08ZrqzVOabKt/Hu8ExxtP3r9vNlmsr044+g7&#10;RwoW8wgEUu1MR42Cz/J19gTCB01G945QwQ962OS3N5lOjbtQged9aASHkE+1gjaEIZXS1y1a7edu&#10;QOLbwY1WBx7HRppRXzjc9nIZRbG0uiP+0OoBdy3Wx/3JKth+UfHSfb9XH8Wh6MoyiegtPip1fzdt&#10;n0EEnMIfDFd9VoecnSp3IuNFryBePSaMKpitudMVWCQJbyoFy3X8ADLP5P8O+S8AAAD//wMAUEsB&#10;Ai0AFAAGAAgAAAAhALaDOJL+AAAA4QEAABMAAAAAAAAAAAAAAAAAAAAAAFtDb250ZW50X1R5cGVz&#10;XS54bWxQSwECLQAUAAYACAAAACEAOP0h/9YAAACUAQAACwAAAAAAAAAAAAAAAAAvAQAAX3JlbHMv&#10;LnJlbHNQSwECLQAUAAYACAAAACEAwlFbJe0BAAC/AwAADgAAAAAAAAAAAAAAAAAuAgAAZHJzL2Uy&#10;b0RvYy54bWxQSwECLQAUAAYACAAAACEA1QX+cuEAAAALAQAADwAAAAAAAAAAAAAAAABH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14:paraId="63004BB9" w14:textId="77777777">
                      <w:trPr>
                        <w:trHeight w:val="1787"/>
                      </w:trPr>
                      <w:tc>
                        <w:tcPr>
                          <w:tcW w:w="4788" w:type="dxa"/>
                          <w:tcBorders>
                            <w:top w:val="nil"/>
                            <w:left w:val="nil"/>
                            <w:bottom w:val="nil"/>
                            <w:right w:val="nil"/>
                          </w:tcBorders>
                        </w:tcPr>
                        <w:p w14:paraId="40F06FDD" w14:textId="77777777" w:rsidR="00427195" w:rsidRDefault="00427195">
                          <w:bookmarkStart w:id="8" w:name="bmLintregel1" w:colFirst="0" w:colLast="1"/>
                        </w:p>
                      </w:tc>
                    </w:tr>
                    <w:bookmarkEnd w:id="8"/>
                  </w:tbl>
                  <w:p w14:paraId="1D65DB44" w14:textId="77777777" w:rsidR="00427195" w:rsidRDefault="00427195"/>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605F8D24" wp14:editId="4CB68E8C">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14:paraId="2EBF18E2" w14:textId="77777777">
                            <w:trPr>
                              <w:trHeight w:val="2140"/>
                            </w:trPr>
                            <w:tc>
                              <w:tcPr>
                                <w:tcW w:w="737" w:type="dxa"/>
                              </w:tcPr>
                              <w:p w14:paraId="05A234DA" w14:textId="77777777" w:rsidR="00427195" w:rsidRDefault="00F60F4E">
                                <w:pPr>
                                  <w:spacing w:line="240" w:lineRule="auto"/>
                                </w:pPr>
                                <w:bookmarkStart w:id="9" w:name="bmRijksLogo" w:colFirst="0" w:colLast="0"/>
                                <w:r>
                                  <w:rPr>
                                    <w:noProof/>
                                  </w:rPr>
                                  <w:drawing>
                                    <wp:inline distT="0" distB="0" distL="0" distR="0" wp14:anchorId="13088C94" wp14:editId="4A05CBC7">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3AD23EC7" w14:textId="77777777" w:rsidR="00427195" w:rsidRDefault="00427195">
                                <w:pPr>
                                  <w:spacing w:line="240" w:lineRule="auto"/>
                                  <w:rPr>
                                    <w:rFonts w:ascii="Times New Roman" w:hAnsi="Times New Roman"/>
                                    <w:sz w:val="24"/>
                                  </w:rPr>
                                </w:pPr>
                              </w:p>
                            </w:tc>
                          </w:tr>
                          <w:bookmarkEnd w:id="9"/>
                        </w:tbl>
                        <w:p w14:paraId="742A5F9A" w14:textId="77777777" w:rsidR="00427195" w:rsidRDefault="004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F8D24" id="Text Box 56" o:spid="_x0000_s1028"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dQ9gEAAM8DAAAOAAAAZHJzL2Uyb0RvYy54bWysU9uO0zAQfUfiHyy/07Qh7ULUdLXsahHS&#10;cpF2+YCp4zQWiceM3SbL1zN22lLgDfFieS4+c+bMeH099p04aPIGbSUXs7kU2iqsjd1V8uvT/as3&#10;UvgAtoYOra7ks/byevPyxXpwpc6xxa7WJBjE+nJwlWxDcGWWedXqHvwMnbYcbJB6CGzSLqsJBkbv&#10;uyyfz1fZgFQ7QqW9Z+/dFJSbhN80WoXPTeN1EF0lmVtIJ6VzG89ss4ZyR+Bao4404B9Y9GAsFz1D&#10;3UEAsSfzF1RvFKHHJswU9hk2jVE69cDdLOZ/dPPYgtOpFxbHu7NM/v/Bqk+HLyRMXclCCgs9j+hJ&#10;j0G8w1EsV1GewfmSsx4d54WR/Tzm1Kp3D6i+eWHxtgW70zdEOLQaaqa3iC+zi6cTjo8g2+Ej1lwH&#10;9gET0NhQH7VjNQSj85iez6OJXBQ7i3lerF5zSHFscVWs8mUaXgbl6bkjH95r7EW8VJJ49gkeDg8+&#10;RDpQnlJiNYv3puvS/Dv7m4MToyfRj4wn7mHcjkmo/KTKFutn7odw2ir+BXxpkX5IMfBGVdJ/3wNp&#10;KboPljV5uyiKuILJKJZXORt0GdleRsAqhqpkkGK63oZpbfeOzK7lStMULN6wjo1JHUbBJ1ZH+rw1&#10;qfHjhse1vLRT1q9/uPkJAAD//wMAUEsDBBQABgAIAAAAIQCh24fH3wAAAAsBAAAPAAAAZHJzL2Rv&#10;d25yZXYueG1sTI/LTsMwEEX3SPyDNUjsWjuBRCFkUiEQWxDlIbFz42kSEY+j2G3C3+Ou6HI0R/ee&#10;W20WO4gjTb53jJCsFQjixpmeW4SP9+dVAcIHzUYPjgnhlzxs6suLSpfGzfxGx21oRQxhX2qELoSx&#10;lNI3HVnt124kjr+9m6wO8ZxaaSY9x3A7yFSpXFrdc2zo9EiPHTU/24NF+HzZf3/dqtf2yWbj7BYl&#10;2d5JxOur5eEeRKAl/MNw0o/qUEennTuw8WJAyLL0JqIIqzxOOAFJkScgdghpXqQg60qeb6j/AAAA&#10;//8DAFBLAQItABQABgAIAAAAIQC2gziS/gAAAOEBAAATAAAAAAAAAAAAAAAAAAAAAABbQ29udGVu&#10;dF9UeXBlc10ueG1sUEsBAi0AFAAGAAgAAAAhADj9If/WAAAAlAEAAAsAAAAAAAAAAAAAAAAALwEA&#10;AF9yZWxzLy5yZWxzUEsBAi0AFAAGAAgAAAAhAPDvB1D2AQAAzwMAAA4AAAAAAAAAAAAAAAAALgIA&#10;AGRycy9lMm9Eb2MueG1sUEsBAi0AFAAGAAgAAAAhAKHbh8ffAAAACwEAAA8AAAAAAAAAAAAAAAAA&#10;UAQAAGRycy9kb3ducmV2LnhtbFBLBQYAAAAABAAEAPMAAABcBQ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14:paraId="2EBF18E2" w14:textId="77777777">
                      <w:trPr>
                        <w:trHeight w:val="2140"/>
                      </w:trPr>
                      <w:tc>
                        <w:tcPr>
                          <w:tcW w:w="737" w:type="dxa"/>
                        </w:tcPr>
                        <w:p w14:paraId="05A234DA" w14:textId="77777777" w:rsidR="00427195" w:rsidRDefault="00F60F4E">
                          <w:pPr>
                            <w:spacing w:line="240" w:lineRule="auto"/>
                          </w:pPr>
                          <w:bookmarkStart w:id="10" w:name="bmRijksLogo" w:colFirst="0" w:colLast="0"/>
                          <w:r>
                            <w:rPr>
                              <w:noProof/>
                            </w:rPr>
                            <w:drawing>
                              <wp:inline distT="0" distB="0" distL="0" distR="0" wp14:anchorId="13088C94" wp14:editId="4A05CBC7">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3AD23EC7" w14:textId="77777777" w:rsidR="00427195" w:rsidRDefault="00427195">
                          <w:pPr>
                            <w:spacing w:line="240" w:lineRule="auto"/>
                            <w:rPr>
                              <w:rFonts w:ascii="Times New Roman" w:hAnsi="Times New Roman"/>
                              <w:sz w:val="24"/>
                            </w:rPr>
                          </w:pPr>
                        </w:p>
                      </w:tc>
                    </w:tr>
                    <w:bookmarkEnd w:id="10"/>
                  </w:tbl>
                  <w:p w14:paraId="742A5F9A" w14:textId="77777777" w:rsidR="00427195" w:rsidRDefault="0042719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F03D93"/>
    <w:multiLevelType w:val="hybridMultilevel"/>
    <w:tmpl w:val="D864ED38"/>
    <w:lvl w:ilvl="0" w:tplc="319A42F6">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2554A8"/>
    <w:multiLevelType w:val="hybridMultilevel"/>
    <w:tmpl w:val="AB80EBB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E711117"/>
    <w:multiLevelType w:val="hybridMultilevel"/>
    <w:tmpl w:val="C7FA568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4"/>
  </w:num>
  <w:num w:numId="14">
    <w:abstractNumId w:val="13"/>
  </w:num>
  <w:num w:numId="15">
    <w:abstractNumId w:val="1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88"/>
    <w:rsid w:val="000339A2"/>
    <w:rsid w:val="00036888"/>
    <w:rsid w:val="00233298"/>
    <w:rsid w:val="002E672E"/>
    <w:rsid w:val="0033285B"/>
    <w:rsid w:val="003D50BE"/>
    <w:rsid w:val="003F1694"/>
    <w:rsid w:val="00427195"/>
    <w:rsid w:val="005D2FF2"/>
    <w:rsid w:val="00725AB0"/>
    <w:rsid w:val="007E5988"/>
    <w:rsid w:val="00B12AB9"/>
    <w:rsid w:val="00B215B1"/>
    <w:rsid w:val="00CC3864"/>
    <w:rsid w:val="00CD7FAE"/>
    <w:rsid w:val="00ED5CCA"/>
    <w:rsid w:val="00EE06F6"/>
    <w:rsid w:val="00F60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29AB2758"/>
  <w15:docId w15:val="{B79CE7E7-0E94-4C6A-991E-6072D183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6888"/>
    <w:pPr>
      <w:spacing w:after="160" w:line="259" w:lineRule="auto"/>
    </w:pPr>
    <w:rPr>
      <w:rFonts w:asciiTheme="minorHAnsi" w:eastAsiaTheme="minorHAnsi" w:hAnsiTheme="minorHAnsi" w:cstheme="minorBidi"/>
      <w:sz w:val="22"/>
      <w:szCs w:val="22"/>
      <w:lang w:val="en-GB"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uiPriority w:val="99"/>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uiPriority w:val="99"/>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styleId="Lijstalinea">
    <w:name w:val="List Paragraph"/>
    <w:aliases w:val="Lista viñetas,Viñetas (Inicio Parrafo),Bullet List,Παράγραφος λίστας,Heading 2_sj,Chapter Subheaders,Kilder,Referncias,Corpo"/>
    <w:basedOn w:val="Standaard"/>
    <w:link w:val="LijstalineaChar"/>
    <w:uiPriority w:val="34"/>
    <w:qFormat/>
    <w:rsid w:val="00036888"/>
    <w:pPr>
      <w:ind w:left="720"/>
      <w:contextualSpacing/>
    </w:pPr>
  </w:style>
  <w:style w:type="character" w:styleId="Verwijzingopmerking">
    <w:name w:val="annotation reference"/>
    <w:basedOn w:val="Standaardalinea-lettertype"/>
    <w:unhideWhenUsed/>
    <w:rsid w:val="00036888"/>
    <w:rPr>
      <w:sz w:val="16"/>
      <w:szCs w:val="16"/>
    </w:rPr>
  </w:style>
  <w:style w:type="character" w:customStyle="1" w:styleId="VoetnoottekstChar">
    <w:name w:val="Voetnoottekst Char"/>
    <w:basedOn w:val="Standaardalinea-lettertype"/>
    <w:link w:val="Voetnoottekst"/>
    <w:uiPriority w:val="99"/>
    <w:rsid w:val="00036888"/>
    <w:rPr>
      <w:rFonts w:ascii="Verdana" w:hAnsi="Verdana"/>
      <w:sz w:val="13"/>
    </w:rPr>
  </w:style>
  <w:style w:type="character" w:customStyle="1" w:styleId="LijstalineaChar">
    <w:name w:val="Lijstalinea Char"/>
    <w:aliases w:val="Lista viñetas Char,Viñetas (Inicio Parrafo) Char,Bullet List Char,Παράγραφος λίστας Char,Heading 2_sj Char,Chapter Subheaders Char,Kilder Char,Referncias Char,Corpo Char"/>
    <w:basedOn w:val="Standaardalinea-lettertype"/>
    <w:link w:val="Lijstalinea"/>
    <w:uiPriority w:val="34"/>
    <w:rsid w:val="00036888"/>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RijksBlancoStaand</Template>
  <TotalTime>9</TotalTime>
  <Pages>3</Pages>
  <Words>668</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Jong-Aerts, ir. J.N. de (Jane)</dc:creator>
  <cp:lastModifiedBy>Solanki, M.R. (Mina)</cp:lastModifiedBy>
  <cp:revision>2</cp:revision>
  <cp:lastPrinted>2009-05-11T11:10:00Z</cp:lastPrinted>
  <dcterms:created xsi:type="dcterms:W3CDTF">2022-08-02T11:47:00Z</dcterms:created>
  <dcterms:modified xsi:type="dcterms:W3CDTF">2022-08-09T15:22:00Z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2022-08-02T11:47:22Z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2ee0e162-183d-4831-b55c-e449ce03571c</vt:lpwstr>
  </property>
  <property fmtid="{D5CDD505-2E9C-101B-9397-08002B2CF9AE}" pid="11" name="MSIP_Label_4bde8109-f994-4a60-a1d3-5c95e2ff3620_ContentBits">
    <vt:lpwstr>0</vt:lpwstr>
  </property>
</Properties>
</file>