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0386" w14:textId="4460A3DA" w:rsidR="00825731" w:rsidRPr="00027F0A" w:rsidRDefault="00D61AD5" w:rsidP="00E40B30">
      <w:pPr>
        <w:pStyle w:val="Titel"/>
        <w:spacing w:before="720" w:after="0" w:line="360" w:lineRule="exact"/>
        <w:rPr>
          <w:rFonts w:ascii="RijksoverheidSansHeadingTT" w:hAnsi="RijksoverheidSansHeadingTT"/>
          <w:b/>
          <w:bCs w:val="0"/>
          <w:color w:val="007BC7"/>
          <w:sz w:val="36"/>
          <w:szCs w:val="36"/>
          <w:lang w:val="en-US"/>
        </w:rPr>
      </w:pPr>
      <w:r w:rsidRPr="00E51A24">
        <w:rPr>
          <w:rFonts w:ascii="RijksoverheidSansHeadingTT" w:hAnsi="RijksoverheidSansHeadingTT"/>
          <w:b/>
          <w:bCs w:val="0"/>
          <w:noProof/>
          <w:color w:val="007BC7"/>
          <w:sz w:val="36"/>
          <w:szCs w:val="36"/>
          <w:lang w:val="en-US"/>
        </w:rPr>
        <w:drawing>
          <wp:anchor distT="0" distB="0" distL="114300" distR="114300" simplePos="0" relativeHeight="251659264" behindDoc="1" locked="0" layoutInCell="1" allowOverlap="1" wp14:anchorId="5CB29224" wp14:editId="7CD73124">
            <wp:simplePos x="0" y="0"/>
            <wp:positionH relativeFrom="column">
              <wp:posOffset>4718685</wp:posOffset>
            </wp:positionH>
            <wp:positionV relativeFrom="paragraph">
              <wp:posOffset>-757555</wp:posOffset>
            </wp:positionV>
            <wp:extent cx="2109470" cy="1222280"/>
            <wp:effectExtent l="0" t="0" r="508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470" cy="122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731" w:rsidRPr="00027F0A">
        <w:rPr>
          <w:rFonts w:ascii="RijksoverheidSansHeadingTT" w:hAnsi="RijksoverheidSansHeadingTT"/>
          <w:b/>
          <w:bCs w:val="0"/>
          <w:color w:val="007BC7"/>
          <w:sz w:val="36"/>
          <w:szCs w:val="36"/>
          <w:lang w:val="en-US"/>
        </w:rPr>
        <w:t xml:space="preserve">Impact Clusters </w:t>
      </w:r>
      <w:r w:rsidR="00232478">
        <w:rPr>
          <w:rFonts w:ascii="RijksoverheidSansHeadingTT" w:hAnsi="RijksoverheidSansHeadingTT"/>
          <w:b/>
          <w:bCs w:val="0"/>
          <w:color w:val="007BC7"/>
          <w:sz w:val="36"/>
          <w:szCs w:val="36"/>
          <w:lang w:val="en-US"/>
        </w:rPr>
        <w:t>i</w:t>
      </w:r>
      <w:r w:rsidR="00825731" w:rsidRPr="00027F0A">
        <w:rPr>
          <w:rFonts w:ascii="RijksoverheidSansHeadingTT" w:hAnsi="RijksoverheidSansHeadingTT"/>
          <w:b/>
          <w:bCs w:val="0"/>
          <w:color w:val="007BC7"/>
          <w:sz w:val="36"/>
          <w:szCs w:val="36"/>
          <w:lang w:val="en-US"/>
        </w:rPr>
        <w:t xml:space="preserve">ndicators </w:t>
      </w:r>
      <w:r w:rsidR="00027F0A">
        <w:rPr>
          <w:rFonts w:ascii="RijksoverheidSansHeadingTT" w:hAnsi="RijksoverheidSansHeadingTT"/>
          <w:b/>
          <w:bCs w:val="0"/>
          <w:color w:val="007BC7"/>
          <w:sz w:val="36"/>
          <w:szCs w:val="36"/>
          <w:lang w:val="en-US"/>
        </w:rPr>
        <w:t>– Annex I</w:t>
      </w:r>
      <w:r w:rsidR="00191C0F">
        <w:rPr>
          <w:rFonts w:ascii="RijksoverheidSansHeadingTT" w:hAnsi="RijksoverheidSansHeadingTT"/>
          <w:b/>
          <w:bCs w:val="0"/>
          <w:color w:val="007BC7"/>
          <w:sz w:val="36"/>
          <w:szCs w:val="36"/>
          <w:lang w:val="en-US"/>
        </w:rPr>
        <w:t xml:space="preserve">II </w:t>
      </w:r>
    </w:p>
    <w:p w14:paraId="527F5F26" w14:textId="783301F8" w:rsidR="00D61AD5" w:rsidRPr="00E40B30" w:rsidRDefault="00E40B30" w:rsidP="00E40B30">
      <w:pPr>
        <w:pStyle w:val="Titel"/>
        <w:spacing w:before="240" w:after="120" w:line="240" w:lineRule="exact"/>
        <w:rPr>
          <w:rFonts w:ascii="Verdana" w:hAnsi="Verdana"/>
          <w:color w:val="000000" w:themeColor="text1"/>
          <w:sz w:val="18"/>
          <w:szCs w:val="18"/>
          <w:lang w:val="en-US"/>
        </w:rPr>
      </w:pPr>
      <w:r w:rsidRPr="00E40B30">
        <w:rPr>
          <w:rFonts w:ascii="Verdana" w:hAnsi="Verdana"/>
          <w:color w:val="000000" w:themeColor="text1"/>
          <w:sz w:val="18"/>
          <w:szCs w:val="18"/>
          <w:lang w:val="en-US"/>
        </w:rPr>
        <w:t>Instructions: Please indicate the applicable indicators, considering the project's context and objectives. If an indicator is not applicable, please explain why. It is mandatory to report on applicable indicators.</w:t>
      </w:r>
    </w:p>
    <w:tbl>
      <w:tblPr>
        <w:tblStyle w:val="Tabelrasterlicht"/>
        <w:tblW w:w="0" w:type="auto"/>
        <w:tblLayout w:type="fixed"/>
        <w:tblLook w:val="04A0" w:firstRow="1" w:lastRow="0" w:firstColumn="1" w:lastColumn="0" w:noHBand="0" w:noVBand="1"/>
      </w:tblPr>
      <w:tblGrid>
        <w:gridCol w:w="1962"/>
        <w:gridCol w:w="1861"/>
        <w:gridCol w:w="1134"/>
        <w:gridCol w:w="850"/>
        <w:gridCol w:w="851"/>
        <w:gridCol w:w="5583"/>
        <w:gridCol w:w="1504"/>
        <w:gridCol w:w="1723"/>
      </w:tblGrid>
      <w:tr w:rsidR="00860F5D" w:rsidRPr="00232478" w14:paraId="629C8C89" w14:textId="77777777" w:rsidTr="00B5144A">
        <w:trPr>
          <w:trHeight w:hRule="exact" w:val="964"/>
        </w:trPr>
        <w:tc>
          <w:tcPr>
            <w:tcW w:w="1962" w:type="dxa"/>
            <w:shd w:val="clear" w:color="auto" w:fill="007BC7"/>
          </w:tcPr>
          <w:p w14:paraId="569D0BC3" w14:textId="7C051718" w:rsidR="00EF684E" w:rsidRPr="00EF684E" w:rsidRDefault="00EF684E" w:rsidP="00B5144A">
            <w:pPr>
              <w:spacing w:after="0" w:line="180" w:lineRule="exact"/>
              <w:rPr>
                <w:rFonts w:ascii="Verdana" w:hAnsi="Verdana"/>
                <w:b/>
                <w:bCs/>
                <w:color w:val="FFFFFF" w:themeColor="background1"/>
                <w:sz w:val="16"/>
                <w:szCs w:val="16"/>
              </w:rPr>
            </w:pPr>
            <w:r w:rsidRPr="00EF684E">
              <w:rPr>
                <w:rFonts w:ascii="Verdana" w:hAnsi="Verdana"/>
                <w:b/>
                <w:bCs/>
                <w:color w:val="FFFFFF" w:themeColor="background1"/>
                <w:sz w:val="16"/>
                <w:szCs w:val="16"/>
              </w:rPr>
              <w:t>PSD Indicators</w:t>
            </w:r>
          </w:p>
        </w:tc>
        <w:tc>
          <w:tcPr>
            <w:tcW w:w="1861" w:type="dxa"/>
            <w:shd w:val="clear" w:color="auto" w:fill="007BC7"/>
          </w:tcPr>
          <w:p w14:paraId="61D92D1A" w14:textId="6A53ED66" w:rsidR="00EF684E" w:rsidRPr="00EF684E" w:rsidRDefault="00EF684E" w:rsidP="00B5144A">
            <w:pPr>
              <w:spacing w:after="0" w:line="180" w:lineRule="exact"/>
              <w:rPr>
                <w:rFonts w:ascii="Verdana" w:hAnsi="Verdana"/>
                <w:b/>
                <w:bCs/>
                <w:color w:val="FFFFFF" w:themeColor="background1"/>
                <w:sz w:val="16"/>
                <w:szCs w:val="16"/>
              </w:rPr>
            </w:pPr>
            <w:proofErr w:type="spellStart"/>
            <w:r w:rsidRPr="00EF684E">
              <w:rPr>
                <w:rFonts w:ascii="Verdana" w:hAnsi="Verdana"/>
                <w:b/>
                <w:bCs/>
                <w:color w:val="FFFFFF" w:themeColor="background1"/>
                <w:sz w:val="16"/>
                <w:szCs w:val="16"/>
              </w:rPr>
              <w:t>Disaggregation</w:t>
            </w:r>
            <w:proofErr w:type="spellEnd"/>
          </w:p>
        </w:tc>
        <w:tc>
          <w:tcPr>
            <w:tcW w:w="1134" w:type="dxa"/>
            <w:shd w:val="clear" w:color="auto" w:fill="007BC7"/>
          </w:tcPr>
          <w:p w14:paraId="63A4228C" w14:textId="30C761A9" w:rsidR="00EF684E" w:rsidRPr="00EF684E" w:rsidRDefault="00EF684E" w:rsidP="00B5144A">
            <w:pPr>
              <w:spacing w:after="0" w:line="180" w:lineRule="exact"/>
              <w:rPr>
                <w:rFonts w:ascii="Verdana" w:hAnsi="Verdana"/>
                <w:b/>
                <w:bCs/>
                <w:color w:val="FFFFFF" w:themeColor="background1"/>
                <w:sz w:val="16"/>
                <w:szCs w:val="16"/>
              </w:rPr>
            </w:pPr>
            <w:proofErr w:type="spellStart"/>
            <w:r w:rsidRPr="00EF684E">
              <w:rPr>
                <w:rFonts w:ascii="Verdana" w:hAnsi="Verdana"/>
                <w:b/>
                <w:bCs/>
                <w:color w:val="FFFFFF" w:themeColor="background1"/>
                <w:sz w:val="16"/>
                <w:szCs w:val="16"/>
              </w:rPr>
              <w:t>Measure</w:t>
            </w:r>
            <w:proofErr w:type="spellEnd"/>
          </w:p>
        </w:tc>
        <w:tc>
          <w:tcPr>
            <w:tcW w:w="850" w:type="dxa"/>
            <w:shd w:val="clear" w:color="auto" w:fill="007BC7"/>
          </w:tcPr>
          <w:p w14:paraId="2ACE487A" w14:textId="6BFA50AE" w:rsidR="00EF684E" w:rsidRPr="00EF684E" w:rsidRDefault="00EF684E" w:rsidP="00B5144A">
            <w:pPr>
              <w:spacing w:after="0" w:line="180" w:lineRule="exact"/>
              <w:rPr>
                <w:rFonts w:ascii="Verdana" w:hAnsi="Verdana"/>
                <w:b/>
                <w:bCs/>
                <w:color w:val="FFFFFF" w:themeColor="background1"/>
                <w:sz w:val="16"/>
                <w:szCs w:val="16"/>
              </w:rPr>
            </w:pPr>
            <w:r w:rsidRPr="00EF684E">
              <w:rPr>
                <w:rFonts w:ascii="Verdana" w:hAnsi="Verdana"/>
                <w:b/>
                <w:bCs/>
                <w:color w:val="FFFFFF" w:themeColor="background1"/>
                <w:sz w:val="16"/>
                <w:szCs w:val="16"/>
              </w:rPr>
              <w:t>Target</w:t>
            </w:r>
          </w:p>
        </w:tc>
        <w:tc>
          <w:tcPr>
            <w:tcW w:w="851" w:type="dxa"/>
            <w:shd w:val="clear" w:color="auto" w:fill="007BC7"/>
          </w:tcPr>
          <w:p w14:paraId="46BF2E36" w14:textId="7CF61D91" w:rsidR="00EF684E" w:rsidRPr="00EF684E" w:rsidRDefault="00EF684E" w:rsidP="00B5144A">
            <w:pPr>
              <w:spacing w:after="0" w:line="180" w:lineRule="exact"/>
              <w:rPr>
                <w:rFonts w:ascii="Verdana" w:hAnsi="Verdana"/>
                <w:b/>
                <w:bCs/>
                <w:color w:val="FFFFFF" w:themeColor="background1"/>
                <w:sz w:val="16"/>
                <w:szCs w:val="16"/>
              </w:rPr>
            </w:pPr>
            <w:proofErr w:type="spellStart"/>
            <w:r w:rsidRPr="00EF684E">
              <w:rPr>
                <w:rFonts w:ascii="Verdana" w:hAnsi="Verdana"/>
                <w:b/>
                <w:bCs/>
                <w:color w:val="FFFFFF" w:themeColor="background1"/>
                <w:sz w:val="16"/>
                <w:szCs w:val="16"/>
              </w:rPr>
              <w:t>Result</w:t>
            </w:r>
            <w:proofErr w:type="spellEnd"/>
          </w:p>
        </w:tc>
        <w:tc>
          <w:tcPr>
            <w:tcW w:w="5583" w:type="dxa"/>
            <w:shd w:val="clear" w:color="auto" w:fill="007BC7"/>
          </w:tcPr>
          <w:p w14:paraId="2F5CA8CE" w14:textId="08D93558" w:rsidR="00EF684E" w:rsidRPr="00EF684E" w:rsidRDefault="00EF684E" w:rsidP="00B5144A">
            <w:pPr>
              <w:spacing w:after="0" w:line="180" w:lineRule="exact"/>
              <w:rPr>
                <w:rFonts w:ascii="Verdana" w:hAnsi="Verdana"/>
                <w:b/>
                <w:bCs/>
                <w:color w:val="FFFFFF" w:themeColor="background1"/>
                <w:sz w:val="16"/>
                <w:szCs w:val="16"/>
              </w:rPr>
            </w:pPr>
            <w:proofErr w:type="spellStart"/>
            <w:r w:rsidRPr="00EF684E">
              <w:rPr>
                <w:rFonts w:ascii="Verdana" w:hAnsi="Verdana"/>
                <w:b/>
                <w:bCs/>
                <w:color w:val="FFFFFF" w:themeColor="background1"/>
                <w:sz w:val="16"/>
                <w:szCs w:val="16"/>
              </w:rPr>
              <w:t>Explanation</w:t>
            </w:r>
            <w:proofErr w:type="spellEnd"/>
          </w:p>
        </w:tc>
        <w:tc>
          <w:tcPr>
            <w:tcW w:w="1504" w:type="dxa"/>
            <w:tcBorders>
              <w:bottom w:val="single" w:sz="4" w:space="0" w:color="BFBFBF" w:themeColor="background1" w:themeShade="BF"/>
            </w:tcBorders>
            <w:shd w:val="clear" w:color="auto" w:fill="007BC7"/>
          </w:tcPr>
          <w:p w14:paraId="10C4C2DA" w14:textId="0FE03994" w:rsidR="00EF684E" w:rsidRPr="00EF684E" w:rsidRDefault="00EF684E" w:rsidP="00B5144A">
            <w:pPr>
              <w:spacing w:after="0" w:line="180" w:lineRule="exact"/>
              <w:rPr>
                <w:rFonts w:ascii="Verdana" w:hAnsi="Verdana"/>
                <w:b/>
                <w:bCs/>
                <w:color w:val="FFFFFF" w:themeColor="background1"/>
                <w:sz w:val="16"/>
                <w:szCs w:val="16"/>
              </w:rPr>
            </w:pPr>
            <w:proofErr w:type="spellStart"/>
            <w:r w:rsidRPr="00EF684E">
              <w:rPr>
                <w:rFonts w:ascii="Verdana" w:hAnsi="Verdana"/>
                <w:b/>
                <w:bCs/>
                <w:color w:val="FFFFFF" w:themeColor="background1"/>
                <w:sz w:val="16"/>
                <w:szCs w:val="16"/>
              </w:rPr>
              <w:t>Theme</w:t>
            </w:r>
            <w:proofErr w:type="spellEnd"/>
          </w:p>
        </w:tc>
        <w:tc>
          <w:tcPr>
            <w:tcW w:w="1723" w:type="dxa"/>
            <w:shd w:val="clear" w:color="auto" w:fill="007BC7"/>
          </w:tcPr>
          <w:p w14:paraId="6773DAC4" w14:textId="280D969E" w:rsidR="00EF684E" w:rsidRPr="00EF684E" w:rsidRDefault="00EF684E" w:rsidP="00B5144A">
            <w:pPr>
              <w:spacing w:after="0" w:line="180" w:lineRule="exact"/>
              <w:rPr>
                <w:rFonts w:ascii="Verdana" w:hAnsi="Verdana"/>
                <w:b/>
                <w:bCs/>
                <w:color w:val="FFFFFF" w:themeColor="background1"/>
                <w:sz w:val="16"/>
                <w:szCs w:val="16"/>
                <w:lang w:val="en-US"/>
              </w:rPr>
            </w:pPr>
            <w:r w:rsidRPr="00EF684E">
              <w:rPr>
                <w:rFonts w:ascii="Verdana" w:hAnsi="Verdana"/>
                <w:b/>
                <w:bCs/>
                <w:color w:val="FFFFFF" w:themeColor="background1"/>
                <w:sz w:val="16"/>
                <w:szCs w:val="16"/>
                <w:lang w:val="en-US"/>
              </w:rPr>
              <w:t>Please explain whether the indicator is applicable or not</w:t>
            </w:r>
          </w:p>
        </w:tc>
      </w:tr>
      <w:tr w:rsidR="00B5144A" w:rsidRPr="00232478" w14:paraId="0F5EAC3A" w14:textId="77777777" w:rsidTr="00B5144A">
        <w:tc>
          <w:tcPr>
            <w:tcW w:w="1962" w:type="dxa"/>
            <w:shd w:val="clear" w:color="auto" w:fill="EEF7FB"/>
          </w:tcPr>
          <w:p w14:paraId="2AC83CDC" w14:textId="20E52A69"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direct jobs individually supported in MSMEs (in FTE).</w:t>
            </w:r>
          </w:p>
        </w:tc>
        <w:tc>
          <w:tcPr>
            <w:tcW w:w="1861" w:type="dxa"/>
            <w:shd w:val="clear" w:color="auto" w:fill="EEF7FB"/>
          </w:tcPr>
          <w:p w14:paraId="5ED39CA3" w14:textId="0830636F"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Women</w:t>
            </w:r>
            <w:proofErr w:type="spellEnd"/>
            <w:r>
              <w:rPr>
                <w:rFonts w:ascii="Calibri" w:hAnsi="Calibri" w:cs="Calibri"/>
                <w:color w:val="000000"/>
                <w:sz w:val="18"/>
                <w:szCs w:val="18"/>
              </w:rPr>
              <w:t>,</w:t>
            </w:r>
            <w:r>
              <w:rPr>
                <w:rFonts w:ascii="Calibri" w:hAnsi="Calibri" w:cs="Calibri"/>
                <w:color w:val="000000"/>
                <w:sz w:val="18"/>
                <w:szCs w:val="18"/>
              </w:rPr>
              <w:br/>
            </w:r>
            <w:proofErr w:type="spellStart"/>
            <w:r>
              <w:rPr>
                <w:rFonts w:ascii="Calibri" w:hAnsi="Calibri" w:cs="Calibri"/>
                <w:color w:val="000000"/>
                <w:sz w:val="18"/>
                <w:szCs w:val="18"/>
              </w:rPr>
              <w:t>Youth</w:t>
            </w:r>
            <w:proofErr w:type="spellEnd"/>
            <w:r>
              <w:rPr>
                <w:rFonts w:ascii="Calibri" w:hAnsi="Calibri" w:cs="Calibri"/>
                <w:color w:val="000000"/>
                <w:sz w:val="18"/>
                <w:szCs w:val="18"/>
              </w:rPr>
              <w:t xml:space="preserve"> (18-35), </w:t>
            </w:r>
            <w:r>
              <w:rPr>
                <w:rFonts w:ascii="Calibri" w:hAnsi="Calibri" w:cs="Calibri"/>
                <w:color w:val="000000"/>
                <w:sz w:val="18"/>
                <w:szCs w:val="18"/>
              </w:rPr>
              <w:br/>
              <w:t>Total</w:t>
            </w:r>
          </w:p>
        </w:tc>
        <w:tc>
          <w:tcPr>
            <w:tcW w:w="1134" w:type="dxa"/>
            <w:shd w:val="clear" w:color="auto" w:fill="EEF7FB"/>
          </w:tcPr>
          <w:p w14:paraId="772CF573" w14:textId="568E433A"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Quantitative</w:t>
            </w:r>
            <w:proofErr w:type="spellEnd"/>
          </w:p>
        </w:tc>
        <w:tc>
          <w:tcPr>
            <w:tcW w:w="850" w:type="dxa"/>
            <w:shd w:val="clear" w:color="auto" w:fill="EEF7FB"/>
          </w:tcPr>
          <w:p w14:paraId="12D12D9F" w14:textId="1E917A5A"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EF7FB"/>
          </w:tcPr>
          <w:p w14:paraId="7DCFF583" w14:textId="48E12B87"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EEF7FB"/>
          </w:tcPr>
          <w:p w14:paraId="2E0AB11B" w14:textId="6BD11E75"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FTE working at the local cluster MSME partner is the number of jobs supported within the local cluster partner directly supported through the Impact Clusters project. This indicator aims to capture the number of people who can provide for themselves through a decent job in an enterprise supported by Impact Clusters. Only fill out this indicator if the local partner is an MSME.</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This indicator includes full-time equivalent (FTE) jobs. It concerns seasonal, contractual part-time employees and informal employment in the target country. Part-time and informal jobs are converted into full-time equivalent jobs pro-rata. The conversion is based on the local definition of a working week. Seasonal or short-term jobs are prorated based on the part of the reporting period that was worked. For example, a full-time job during the harvest season of 3 months would equal a 0.25 FTE job for the reporting period of one year. If the information is not available, the guideline is 2 part-time jobs equal 1 full-time job.</w:t>
            </w:r>
          </w:p>
        </w:tc>
        <w:tc>
          <w:tcPr>
            <w:tcW w:w="150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EEF7FB"/>
            <w:vAlign w:val="center"/>
          </w:tcPr>
          <w:p w14:paraId="6B391EDD" w14:textId="6A3D9C31"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EF7FB"/>
          </w:tcPr>
          <w:p w14:paraId="0961FE1F" w14:textId="77777777" w:rsidR="00860F5D" w:rsidRPr="00E40B30" w:rsidRDefault="00860F5D" w:rsidP="00860F5D">
            <w:pPr>
              <w:spacing w:after="0" w:line="200" w:lineRule="exact"/>
              <w:rPr>
                <w:rFonts w:ascii="Verdana" w:hAnsi="Verdana"/>
                <w:sz w:val="16"/>
                <w:szCs w:val="16"/>
                <w:lang w:val="en-US"/>
              </w:rPr>
            </w:pPr>
          </w:p>
        </w:tc>
      </w:tr>
      <w:tr w:rsidR="00B5144A" w:rsidRPr="00EF684E" w14:paraId="08FCD48A" w14:textId="77777777" w:rsidTr="00B5144A">
        <w:trPr>
          <w:trHeight w:val="1134"/>
        </w:trPr>
        <w:tc>
          <w:tcPr>
            <w:tcW w:w="1962" w:type="dxa"/>
            <w:shd w:val="clear" w:color="auto" w:fill="EEF7FB"/>
          </w:tcPr>
          <w:p w14:paraId="3E01F30E" w14:textId="689540BF"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people trained or skills developed. </w:t>
            </w:r>
          </w:p>
        </w:tc>
        <w:tc>
          <w:tcPr>
            <w:tcW w:w="1861" w:type="dxa"/>
            <w:shd w:val="clear" w:color="auto" w:fill="EEF7FB"/>
          </w:tcPr>
          <w:p w14:paraId="6BD62C96" w14:textId="3196B4B2"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Women</w:t>
            </w:r>
            <w:proofErr w:type="spellEnd"/>
            <w:r>
              <w:rPr>
                <w:rFonts w:ascii="Calibri" w:hAnsi="Calibri" w:cs="Calibri"/>
                <w:color w:val="000000"/>
                <w:sz w:val="18"/>
                <w:szCs w:val="18"/>
              </w:rPr>
              <w:t xml:space="preserve">, </w:t>
            </w:r>
            <w:r>
              <w:rPr>
                <w:rFonts w:ascii="Calibri" w:hAnsi="Calibri" w:cs="Calibri"/>
                <w:color w:val="000000"/>
                <w:sz w:val="18"/>
                <w:szCs w:val="18"/>
              </w:rPr>
              <w:br/>
            </w:r>
            <w:proofErr w:type="spellStart"/>
            <w:r>
              <w:rPr>
                <w:rFonts w:ascii="Calibri" w:hAnsi="Calibri" w:cs="Calibri"/>
                <w:color w:val="000000"/>
                <w:sz w:val="18"/>
                <w:szCs w:val="18"/>
              </w:rPr>
              <w:t>Youth</w:t>
            </w:r>
            <w:proofErr w:type="spellEnd"/>
            <w:r>
              <w:rPr>
                <w:rFonts w:ascii="Calibri" w:hAnsi="Calibri" w:cs="Calibri"/>
                <w:color w:val="000000"/>
                <w:sz w:val="18"/>
                <w:szCs w:val="18"/>
              </w:rPr>
              <w:t xml:space="preserve"> (18-35), </w:t>
            </w:r>
            <w:r>
              <w:rPr>
                <w:rFonts w:ascii="Calibri" w:hAnsi="Calibri" w:cs="Calibri"/>
                <w:color w:val="000000"/>
                <w:sz w:val="18"/>
                <w:szCs w:val="18"/>
              </w:rPr>
              <w:br/>
              <w:t>Total</w:t>
            </w:r>
          </w:p>
        </w:tc>
        <w:tc>
          <w:tcPr>
            <w:tcW w:w="1134" w:type="dxa"/>
            <w:shd w:val="clear" w:color="auto" w:fill="EEF7FB"/>
          </w:tcPr>
          <w:p w14:paraId="127961CB" w14:textId="53E210AF"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Quantitative</w:t>
            </w:r>
            <w:proofErr w:type="spellEnd"/>
          </w:p>
        </w:tc>
        <w:tc>
          <w:tcPr>
            <w:tcW w:w="850" w:type="dxa"/>
            <w:shd w:val="clear" w:color="auto" w:fill="EEF7FB"/>
          </w:tcPr>
          <w:p w14:paraId="55A9606B" w14:textId="760ABB37"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EF7FB"/>
          </w:tcPr>
          <w:p w14:paraId="5DE4C123" w14:textId="3481A39A"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EEF7FB"/>
          </w:tcPr>
          <w:p w14:paraId="2BD23482" w14:textId="59A857A1"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training provided should lead to the target group's substantial capacity building. Also, it should provide clear opportunities for participants to increase their economic activities. This does not include workshops of less than 4 hours that give general information.</w:t>
            </w:r>
          </w:p>
        </w:tc>
        <w:tc>
          <w:tcPr>
            <w:tcW w:w="1504" w:type="dxa"/>
            <w:tcBorders>
              <w:top w:val="nil"/>
              <w:left w:val="single" w:sz="4" w:space="0" w:color="BFBFBF" w:themeColor="background1" w:themeShade="BF"/>
              <w:bottom w:val="nil"/>
              <w:right w:val="single" w:sz="4" w:space="0" w:color="BFBFBF" w:themeColor="background1" w:themeShade="BF"/>
            </w:tcBorders>
            <w:shd w:val="clear" w:color="auto" w:fill="EEF7FB"/>
            <w:vAlign w:val="center"/>
          </w:tcPr>
          <w:p w14:paraId="3A351C12" w14:textId="78A75A7F" w:rsidR="00860F5D" w:rsidRPr="001D651E" w:rsidRDefault="00860F5D" w:rsidP="00860F5D">
            <w:pPr>
              <w:spacing w:after="0" w:line="200" w:lineRule="exact"/>
              <w:rPr>
                <w:rFonts w:ascii="Verdana" w:hAnsi="Verdana"/>
                <w:b/>
                <w:bCs/>
                <w:sz w:val="16"/>
                <w:szCs w:val="16"/>
                <w:lang w:val="en-US"/>
              </w:rPr>
            </w:pPr>
            <w:r w:rsidRPr="001D651E">
              <w:rPr>
                <w:rFonts w:ascii="Verdana" w:hAnsi="Verdana"/>
                <w:b/>
                <w:bCs/>
                <w:sz w:val="16"/>
                <w:szCs w:val="16"/>
                <w:lang w:val="en-US"/>
              </w:rPr>
              <w:t>Business development</w:t>
            </w:r>
          </w:p>
        </w:tc>
        <w:tc>
          <w:tcPr>
            <w:tcW w:w="1723" w:type="dxa"/>
            <w:tcBorders>
              <w:left w:val="single" w:sz="4" w:space="0" w:color="BFBFBF" w:themeColor="background1" w:themeShade="BF"/>
            </w:tcBorders>
            <w:shd w:val="clear" w:color="auto" w:fill="EEF7FB"/>
          </w:tcPr>
          <w:p w14:paraId="2282A4E6" w14:textId="77777777" w:rsidR="00860F5D" w:rsidRPr="00E40B30" w:rsidRDefault="00860F5D" w:rsidP="00860F5D">
            <w:pPr>
              <w:spacing w:after="0" w:line="200" w:lineRule="exact"/>
              <w:rPr>
                <w:rFonts w:ascii="Verdana" w:hAnsi="Verdana"/>
                <w:sz w:val="16"/>
                <w:szCs w:val="16"/>
                <w:lang w:val="en-US"/>
              </w:rPr>
            </w:pPr>
          </w:p>
        </w:tc>
      </w:tr>
      <w:tr w:rsidR="00B5144A" w:rsidRPr="00232478" w14:paraId="26F85DC5" w14:textId="77777777" w:rsidTr="00B5144A">
        <w:trPr>
          <w:trHeight w:val="1134"/>
        </w:trPr>
        <w:tc>
          <w:tcPr>
            <w:tcW w:w="1962" w:type="dxa"/>
            <w:shd w:val="clear" w:color="auto" w:fill="EEF7FB"/>
          </w:tcPr>
          <w:p w14:paraId="66726276" w14:textId="0BDA7FE1"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xml:space="preserve">The amount of </w:t>
            </w:r>
            <w:proofErr w:type="spellStart"/>
            <w:r w:rsidRPr="00860F5D">
              <w:rPr>
                <w:rFonts w:ascii="Calibri" w:hAnsi="Calibri" w:cs="Calibri"/>
                <w:color w:val="000000"/>
                <w:sz w:val="18"/>
                <w:szCs w:val="18"/>
                <w:lang w:val="en-US"/>
              </w:rPr>
              <w:t>mobilised</w:t>
            </w:r>
            <w:proofErr w:type="spellEnd"/>
            <w:r w:rsidRPr="00860F5D">
              <w:rPr>
                <w:rFonts w:ascii="Calibri" w:hAnsi="Calibri" w:cs="Calibri"/>
                <w:color w:val="000000"/>
                <w:sz w:val="18"/>
                <w:szCs w:val="18"/>
                <w:lang w:val="en-US"/>
              </w:rPr>
              <w:t xml:space="preserve"> private finance (in thousands of euros).</w:t>
            </w:r>
          </w:p>
        </w:tc>
        <w:tc>
          <w:tcPr>
            <w:tcW w:w="1861" w:type="dxa"/>
            <w:shd w:val="clear" w:color="auto" w:fill="EEF7FB"/>
          </w:tcPr>
          <w:p w14:paraId="4D3828C6" w14:textId="3F9A54D7"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w:t>
            </w:r>
          </w:p>
        </w:tc>
        <w:tc>
          <w:tcPr>
            <w:tcW w:w="1134" w:type="dxa"/>
            <w:shd w:val="clear" w:color="auto" w:fill="EEF7FB"/>
          </w:tcPr>
          <w:p w14:paraId="7E8120F2" w14:textId="3768B509"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Quantitative</w:t>
            </w:r>
            <w:proofErr w:type="spellEnd"/>
          </w:p>
        </w:tc>
        <w:tc>
          <w:tcPr>
            <w:tcW w:w="850" w:type="dxa"/>
            <w:shd w:val="clear" w:color="auto" w:fill="EEF7FB"/>
          </w:tcPr>
          <w:p w14:paraId="3AD9EF22" w14:textId="62E7FBC2"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EF7FB"/>
          </w:tcPr>
          <w:p w14:paraId="55B7B1B5" w14:textId="66DCA0EB"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EEF7FB"/>
          </w:tcPr>
          <w:p w14:paraId="03295C1A" w14:textId="264ED969" w:rsidR="00860F5D" w:rsidRPr="00E40B30" w:rsidRDefault="00860F5D" w:rsidP="00860F5D">
            <w:pPr>
              <w:spacing w:after="0" w:line="200" w:lineRule="exact"/>
              <w:rPr>
                <w:rFonts w:ascii="Verdana" w:hAnsi="Verdana"/>
                <w:sz w:val="16"/>
                <w:szCs w:val="16"/>
                <w:lang w:val="en-US"/>
              </w:rPr>
            </w:pPr>
            <w:proofErr w:type="spellStart"/>
            <w:r w:rsidRPr="00860F5D">
              <w:rPr>
                <w:rFonts w:ascii="Calibri" w:hAnsi="Calibri" w:cs="Calibri"/>
                <w:color w:val="000000"/>
                <w:sz w:val="18"/>
                <w:szCs w:val="18"/>
                <w:lang w:val="en-US"/>
              </w:rPr>
              <w:t>Mobilised</w:t>
            </w:r>
            <w:proofErr w:type="spellEnd"/>
            <w:r w:rsidRPr="00860F5D">
              <w:rPr>
                <w:rFonts w:ascii="Calibri" w:hAnsi="Calibri" w:cs="Calibri"/>
                <w:color w:val="000000"/>
                <w:sz w:val="18"/>
                <w:szCs w:val="18"/>
                <w:lang w:val="en-US"/>
              </w:rPr>
              <w:t xml:space="preserve"> private finance is the amount from private resources. It always concerns an </w:t>
            </w:r>
            <w:r w:rsidR="00923C4B" w:rsidRPr="00027F0A">
              <w:rPr>
                <w:rFonts w:ascii="Calibri" w:hAnsi="Calibri" w:cs="Calibri"/>
                <w:color w:val="000000"/>
                <w:sz w:val="18"/>
                <w:szCs w:val="18"/>
                <w:lang w:val="en-US"/>
              </w:rPr>
              <w:t>a</w:t>
            </w:r>
            <w:r w:rsidRPr="00027F0A">
              <w:rPr>
                <w:rFonts w:ascii="Calibri" w:hAnsi="Calibri" w:cs="Calibri"/>
                <w:color w:val="000000"/>
                <w:sz w:val="18"/>
                <w:szCs w:val="18"/>
                <w:lang w:val="en-US"/>
              </w:rPr>
              <w:t>mount in</w:t>
            </w:r>
            <w:r w:rsidRPr="00860F5D">
              <w:rPr>
                <w:rFonts w:ascii="Calibri" w:hAnsi="Calibri" w:cs="Calibri"/>
                <w:color w:val="000000"/>
                <w:sz w:val="18"/>
                <w:szCs w:val="18"/>
                <w:lang w:val="en-US"/>
              </w:rPr>
              <w:t xml:space="preserve"> a particular year. Also, the amount must be linked directly to the Impact Clusters </w:t>
            </w:r>
            <w:proofErr w:type="spellStart"/>
            <w:r w:rsidRPr="00860F5D">
              <w:rPr>
                <w:rFonts w:ascii="Calibri" w:hAnsi="Calibri" w:cs="Calibri"/>
                <w:color w:val="000000"/>
                <w:sz w:val="18"/>
                <w:szCs w:val="18"/>
                <w:lang w:val="en-US"/>
              </w:rPr>
              <w:t>programme</w:t>
            </w:r>
            <w:proofErr w:type="spellEnd"/>
            <w:r w:rsidRPr="00860F5D">
              <w:rPr>
                <w:rFonts w:ascii="Calibri" w:hAnsi="Calibri" w:cs="Calibri"/>
                <w:color w:val="000000"/>
                <w:sz w:val="18"/>
                <w:szCs w:val="18"/>
                <w:lang w:val="en-US"/>
              </w:rPr>
              <w:t>. Fill out the amount in thousands of euros. Note: This does not include own contributions from project activities. It concerns finance generated as a result of the project.</w:t>
            </w:r>
          </w:p>
        </w:tc>
        <w:tc>
          <w:tcPr>
            <w:tcW w:w="1504" w:type="dxa"/>
            <w:tcBorders>
              <w:top w:val="nil"/>
              <w:left w:val="single" w:sz="4" w:space="0" w:color="BFBFBF" w:themeColor="background1" w:themeShade="BF"/>
              <w:bottom w:val="nil"/>
              <w:right w:val="single" w:sz="4" w:space="0" w:color="BFBFBF" w:themeColor="background1" w:themeShade="BF"/>
            </w:tcBorders>
            <w:shd w:val="clear" w:color="auto" w:fill="EEF7FB"/>
          </w:tcPr>
          <w:p w14:paraId="64BF01C6"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EF7FB"/>
          </w:tcPr>
          <w:p w14:paraId="0EB3E8D8" w14:textId="77777777" w:rsidR="00860F5D" w:rsidRPr="00E40B30" w:rsidRDefault="00860F5D" w:rsidP="00860F5D">
            <w:pPr>
              <w:spacing w:after="0" w:line="200" w:lineRule="exact"/>
              <w:rPr>
                <w:rFonts w:ascii="Verdana" w:hAnsi="Verdana"/>
                <w:sz w:val="16"/>
                <w:szCs w:val="16"/>
                <w:lang w:val="en-US"/>
              </w:rPr>
            </w:pPr>
          </w:p>
        </w:tc>
      </w:tr>
      <w:tr w:rsidR="00860F5D" w:rsidRPr="00232478" w14:paraId="0479AC17" w14:textId="77777777" w:rsidTr="00B5144A">
        <w:trPr>
          <w:trHeight w:val="1134"/>
        </w:trPr>
        <w:tc>
          <w:tcPr>
            <w:tcW w:w="1962" w:type="dxa"/>
            <w:shd w:val="clear" w:color="auto" w:fill="EEF7FB"/>
          </w:tcPr>
          <w:p w14:paraId="213203FE" w14:textId="7B9C71F2"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extent to which local MSMEs use increased resources and capacity to perform better (more inclusive, social, sustainable and profitable) </w:t>
            </w:r>
          </w:p>
        </w:tc>
        <w:tc>
          <w:tcPr>
            <w:tcW w:w="1861" w:type="dxa"/>
            <w:shd w:val="clear" w:color="auto" w:fill="EEF7FB"/>
          </w:tcPr>
          <w:p w14:paraId="16CFEE4F" w14:textId="29EEAB06"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1134" w:type="dxa"/>
            <w:shd w:val="clear" w:color="auto" w:fill="EEF7FB"/>
          </w:tcPr>
          <w:p w14:paraId="41F607AB" w14:textId="2D77C847"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Qualitative</w:t>
            </w:r>
            <w:proofErr w:type="spellEnd"/>
          </w:p>
        </w:tc>
        <w:tc>
          <w:tcPr>
            <w:tcW w:w="850" w:type="dxa"/>
            <w:shd w:val="clear" w:color="auto" w:fill="EEF7FB"/>
          </w:tcPr>
          <w:p w14:paraId="16910317" w14:textId="459F8FAD"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851" w:type="dxa"/>
            <w:shd w:val="clear" w:color="auto" w:fill="EEF7FB"/>
          </w:tcPr>
          <w:p w14:paraId="54304645" w14:textId="5FA11BF2"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5583" w:type="dxa"/>
            <w:tcBorders>
              <w:right w:val="single" w:sz="4" w:space="0" w:color="BFBFBF" w:themeColor="background1" w:themeShade="BF"/>
            </w:tcBorders>
            <w:shd w:val="clear" w:color="auto" w:fill="EEF7FB"/>
          </w:tcPr>
          <w:p w14:paraId="5B04B8C1" w14:textId="75D5AA94"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xml:space="preserve">Evidence from the Impact Clusters </w:t>
            </w:r>
            <w:proofErr w:type="spellStart"/>
            <w:r w:rsidRPr="00860F5D">
              <w:rPr>
                <w:rFonts w:ascii="Calibri" w:hAnsi="Calibri" w:cs="Calibri"/>
                <w:color w:val="000000"/>
                <w:sz w:val="18"/>
                <w:szCs w:val="18"/>
                <w:lang w:val="en-US"/>
              </w:rPr>
              <w:t>programme</w:t>
            </w:r>
            <w:proofErr w:type="spellEnd"/>
            <w:r w:rsidRPr="00860F5D">
              <w:rPr>
                <w:rFonts w:ascii="Calibri" w:hAnsi="Calibri" w:cs="Calibri"/>
                <w:color w:val="000000"/>
                <w:sz w:val="18"/>
                <w:szCs w:val="18"/>
                <w:lang w:val="en-US"/>
              </w:rPr>
              <w:t xml:space="preserve"> via surveys, reflections or interviews with farmers, students, entrepreneurs, and so on. MSMEs use these resources or the capacity gained to perform better due to the intervention. Performing better means being more inclusive, social, sustainable and profitable. </w:t>
            </w:r>
          </w:p>
        </w:tc>
        <w:tc>
          <w:tcPr>
            <w:tcW w:w="150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5F30AF56"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EF7FB"/>
          </w:tcPr>
          <w:p w14:paraId="69C34D4E" w14:textId="77777777" w:rsidR="00860F5D" w:rsidRPr="00E40B30" w:rsidRDefault="00860F5D" w:rsidP="00860F5D">
            <w:pPr>
              <w:spacing w:after="0" w:line="200" w:lineRule="exact"/>
              <w:rPr>
                <w:rFonts w:ascii="Verdana" w:hAnsi="Verdana"/>
                <w:sz w:val="16"/>
                <w:szCs w:val="16"/>
                <w:lang w:val="en-US"/>
              </w:rPr>
            </w:pPr>
          </w:p>
        </w:tc>
      </w:tr>
      <w:tr w:rsidR="00860F5D" w:rsidRPr="00232478" w14:paraId="088E1FDB" w14:textId="77777777" w:rsidTr="00B5144A">
        <w:trPr>
          <w:trHeight w:val="1134"/>
        </w:trPr>
        <w:tc>
          <w:tcPr>
            <w:tcW w:w="1962" w:type="dxa"/>
            <w:shd w:val="clear" w:color="auto" w:fill="FAFAFA"/>
          </w:tcPr>
          <w:p w14:paraId="4ACBA068" w14:textId="47A6FD87"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lastRenderedPageBreak/>
              <w:t xml:space="preserve">The number of </w:t>
            </w:r>
            <w:proofErr w:type="spellStart"/>
            <w:r w:rsidRPr="00860F5D">
              <w:rPr>
                <w:rFonts w:ascii="Calibri" w:hAnsi="Calibri" w:cs="Calibri"/>
                <w:color w:val="000000"/>
                <w:sz w:val="18"/>
                <w:szCs w:val="18"/>
                <w:lang w:val="en-US"/>
              </w:rPr>
              <w:t>organisations</w:t>
            </w:r>
            <w:proofErr w:type="spellEnd"/>
            <w:r w:rsidRPr="00860F5D">
              <w:rPr>
                <w:rFonts w:ascii="Calibri" w:hAnsi="Calibri" w:cs="Calibri"/>
                <w:color w:val="000000"/>
                <w:sz w:val="18"/>
                <w:szCs w:val="18"/>
                <w:lang w:val="en-US"/>
              </w:rPr>
              <w:t xml:space="preserve"> directly supported contributing to a sustainable local business climate.</w:t>
            </w:r>
          </w:p>
        </w:tc>
        <w:tc>
          <w:tcPr>
            <w:tcW w:w="1861" w:type="dxa"/>
            <w:shd w:val="clear" w:color="auto" w:fill="FAFAFA"/>
          </w:tcPr>
          <w:p w14:paraId="00D59C83" w14:textId="2FE21850"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xml:space="preserve">Government, </w:t>
            </w:r>
            <w:r w:rsidRPr="00860F5D">
              <w:rPr>
                <w:rFonts w:ascii="Calibri" w:hAnsi="Calibri" w:cs="Calibri"/>
                <w:color w:val="000000"/>
                <w:sz w:val="18"/>
                <w:szCs w:val="18"/>
                <w:lang w:val="en-US"/>
              </w:rPr>
              <w:br/>
              <w:t>Semi-Government,</w:t>
            </w:r>
            <w:r w:rsidRPr="00860F5D">
              <w:rPr>
                <w:rFonts w:ascii="Calibri" w:hAnsi="Calibri" w:cs="Calibri"/>
                <w:color w:val="000000"/>
                <w:sz w:val="18"/>
                <w:szCs w:val="18"/>
                <w:lang w:val="en-US"/>
              </w:rPr>
              <w:br/>
              <w:t xml:space="preserve">Farmers/workers/entrepreneurs/trader </w:t>
            </w:r>
            <w:proofErr w:type="spellStart"/>
            <w:r w:rsidRPr="00860F5D">
              <w:rPr>
                <w:rFonts w:ascii="Calibri" w:hAnsi="Calibri" w:cs="Calibri"/>
                <w:color w:val="000000"/>
                <w:sz w:val="18"/>
                <w:szCs w:val="18"/>
                <w:lang w:val="en-US"/>
              </w:rPr>
              <w:t>organisations</w:t>
            </w:r>
            <w:proofErr w:type="spellEnd"/>
            <w:r w:rsidRPr="00860F5D">
              <w:rPr>
                <w:rFonts w:ascii="Calibri" w:hAnsi="Calibri" w:cs="Calibri"/>
                <w:color w:val="000000"/>
                <w:sz w:val="18"/>
                <w:szCs w:val="18"/>
                <w:lang w:val="en-US"/>
              </w:rPr>
              <w:t xml:space="preserve">, </w:t>
            </w:r>
            <w:r w:rsidRPr="00860F5D">
              <w:rPr>
                <w:rFonts w:ascii="Calibri" w:hAnsi="Calibri" w:cs="Calibri"/>
                <w:color w:val="000000"/>
                <w:sz w:val="18"/>
                <w:szCs w:val="18"/>
                <w:lang w:val="en-US"/>
              </w:rPr>
              <w:br/>
              <w:t xml:space="preserve">Total </w:t>
            </w:r>
          </w:p>
        </w:tc>
        <w:tc>
          <w:tcPr>
            <w:tcW w:w="1134" w:type="dxa"/>
            <w:shd w:val="clear" w:color="auto" w:fill="FAFAFA"/>
          </w:tcPr>
          <w:p w14:paraId="1DE20231" w14:textId="0F5E43C8"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Quantitative</w:t>
            </w:r>
            <w:proofErr w:type="spellEnd"/>
          </w:p>
        </w:tc>
        <w:tc>
          <w:tcPr>
            <w:tcW w:w="850" w:type="dxa"/>
            <w:shd w:val="clear" w:color="auto" w:fill="FAFAFA"/>
          </w:tcPr>
          <w:p w14:paraId="027AD8EA" w14:textId="775CE0F3"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FAFAFA"/>
          </w:tcPr>
          <w:p w14:paraId="3DE03015" w14:textId="375A8DA0"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FAFAFA"/>
          </w:tcPr>
          <w:p w14:paraId="5CA17820" w14:textId="725E0E2B"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xml:space="preserve">The number of </w:t>
            </w:r>
            <w:proofErr w:type="spellStart"/>
            <w:r w:rsidRPr="00860F5D">
              <w:rPr>
                <w:rFonts w:ascii="Calibri" w:hAnsi="Calibri" w:cs="Calibri"/>
                <w:color w:val="000000"/>
                <w:sz w:val="18"/>
                <w:szCs w:val="18"/>
                <w:lang w:val="en-US"/>
              </w:rPr>
              <w:t>organisations</w:t>
            </w:r>
            <w:proofErr w:type="spellEnd"/>
            <w:r w:rsidRPr="00860F5D">
              <w:rPr>
                <w:rFonts w:ascii="Calibri" w:hAnsi="Calibri" w:cs="Calibri"/>
                <w:color w:val="000000"/>
                <w:sz w:val="18"/>
                <w:szCs w:val="18"/>
                <w:lang w:val="en-US"/>
              </w:rPr>
              <w:t xml:space="preserve">, not the number of individuals. Count </w:t>
            </w:r>
            <w:proofErr w:type="spellStart"/>
            <w:r w:rsidRPr="00860F5D">
              <w:rPr>
                <w:rFonts w:ascii="Calibri" w:hAnsi="Calibri" w:cs="Calibri"/>
                <w:color w:val="000000"/>
                <w:sz w:val="18"/>
                <w:szCs w:val="18"/>
                <w:lang w:val="en-US"/>
              </w:rPr>
              <w:t>organisation</w:t>
            </w:r>
            <w:proofErr w:type="spellEnd"/>
            <w:r w:rsidRPr="00860F5D">
              <w:rPr>
                <w:rFonts w:ascii="Calibri" w:hAnsi="Calibri" w:cs="Calibri"/>
                <w:color w:val="000000"/>
                <w:sz w:val="18"/>
                <w:szCs w:val="18"/>
                <w:lang w:val="en-US"/>
              </w:rPr>
              <w:t xml:space="preserve"> that have undergone a learning process through project activities. It concerns more than one occasion. The </w:t>
            </w:r>
            <w:proofErr w:type="spellStart"/>
            <w:r w:rsidRPr="00860F5D">
              <w:rPr>
                <w:rFonts w:ascii="Calibri" w:hAnsi="Calibri" w:cs="Calibri"/>
                <w:color w:val="000000"/>
                <w:sz w:val="18"/>
                <w:szCs w:val="18"/>
                <w:lang w:val="en-US"/>
              </w:rPr>
              <w:t>organisation</w:t>
            </w:r>
            <w:proofErr w:type="spellEnd"/>
            <w:r w:rsidRPr="00860F5D">
              <w:rPr>
                <w:rFonts w:ascii="Calibri" w:hAnsi="Calibri" w:cs="Calibri"/>
                <w:color w:val="000000"/>
                <w:sz w:val="18"/>
                <w:szCs w:val="18"/>
                <w:lang w:val="en-US"/>
              </w:rPr>
              <w:t xml:space="preserve"> played an active role in the enabling environment of private sector development (PSD).</w:t>
            </w:r>
          </w:p>
        </w:tc>
        <w:tc>
          <w:tcPr>
            <w:tcW w:w="150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AFAFA"/>
          </w:tcPr>
          <w:p w14:paraId="398A384B"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FAFAFA"/>
          </w:tcPr>
          <w:p w14:paraId="069E78D4" w14:textId="77777777" w:rsidR="00860F5D" w:rsidRPr="00E40B30" w:rsidRDefault="00860F5D" w:rsidP="00860F5D">
            <w:pPr>
              <w:spacing w:after="0" w:line="200" w:lineRule="exact"/>
              <w:rPr>
                <w:rFonts w:ascii="Verdana" w:hAnsi="Verdana"/>
                <w:sz w:val="16"/>
                <w:szCs w:val="16"/>
                <w:lang w:val="en-US"/>
              </w:rPr>
            </w:pPr>
          </w:p>
        </w:tc>
      </w:tr>
      <w:tr w:rsidR="00860F5D" w:rsidRPr="00232478" w14:paraId="011635F2" w14:textId="77777777" w:rsidTr="00B5144A">
        <w:trPr>
          <w:trHeight w:val="1134"/>
        </w:trPr>
        <w:tc>
          <w:tcPr>
            <w:tcW w:w="1962" w:type="dxa"/>
            <w:shd w:val="clear" w:color="auto" w:fill="FAFAFA"/>
          </w:tcPr>
          <w:p w14:paraId="4F68C8EF" w14:textId="7E2F49A4"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and description of the changes achieved in laws, regulations, policy plans, social dialogue outcomes or development strategies enacted or adopted by local government or social dialogue partners in the reporting period due to direct intervention by the PSD Toolkit.</w:t>
            </w:r>
          </w:p>
        </w:tc>
        <w:tc>
          <w:tcPr>
            <w:tcW w:w="1861" w:type="dxa"/>
            <w:shd w:val="clear" w:color="auto" w:fill="FAFAFA"/>
          </w:tcPr>
          <w:p w14:paraId="01F15165" w14:textId="7CF0B643"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1134" w:type="dxa"/>
            <w:shd w:val="clear" w:color="auto" w:fill="FAFAFA"/>
          </w:tcPr>
          <w:p w14:paraId="21CC37A1" w14:textId="7622BC35"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Quantitative</w:t>
            </w:r>
            <w:proofErr w:type="spellEnd"/>
            <w:r>
              <w:rPr>
                <w:rFonts w:ascii="Calibri" w:hAnsi="Calibri" w:cs="Calibri"/>
                <w:color w:val="000000"/>
                <w:sz w:val="18"/>
                <w:szCs w:val="18"/>
              </w:rPr>
              <w:t xml:space="preserve"> &amp; </w:t>
            </w:r>
            <w:proofErr w:type="spellStart"/>
            <w:r>
              <w:rPr>
                <w:rFonts w:ascii="Calibri" w:hAnsi="Calibri" w:cs="Calibri"/>
                <w:color w:val="000000"/>
                <w:sz w:val="18"/>
                <w:szCs w:val="18"/>
              </w:rPr>
              <w:t>Qualitative</w:t>
            </w:r>
            <w:proofErr w:type="spellEnd"/>
          </w:p>
        </w:tc>
        <w:tc>
          <w:tcPr>
            <w:tcW w:w="850" w:type="dxa"/>
            <w:shd w:val="clear" w:color="auto" w:fill="FAFAFA"/>
          </w:tcPr>
          <w:p w14:paraId="327EEE36" w14:textId="36413275"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FAFAFA"/>
          </w:tcPr>
          <w:p w14:paraId="4A856C7A" w14:textId="005402F2"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FAFAFA"/>
          </w:tcPr>
          <w:p w14:paraId="7B9F5C82" w14:textId="0843C0E2"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This indicator represents actual changes in laws and regulations, policy plans, social dialogue outcomes or enacted development strategies. You must register these changes, for example in a Memorandum of Understanding (MoU) or Letter of Intent (</w:t>
            </w:r>
            <w:proofErr w:type="spellStart"/>
            <w:r w:rsidRPr="00860F5D">
              <w:rPr>
                <w:rFonts w:ascii="Calibri" w:hAnsi="Calibri" w:cs="Calibri"/>
                <w:color w:val="000000"/>
                <w:sz w:val="18"/>
                <w:szCs w:val="18"/>
                <w:lang w:val="en-US"/>
              </w:rPr>
              <w:t>LoI</w:t>
            </w:r>
            <w:proofErr w:type="spellEnd"/>
            <w:r w:rsidRPr="00860F5D">
              <w:rPr>
                <w:rFonts w:ascii="Calibri" w:hAnsi="Calibri" w:cs="Calibri"/>
                <w:color w:val="000000"/>
                <w:sz w:val="18"/>
                <w:szCs w:val="18"/>
                <w:lang w:val="en-US"/>
              </w:rPr>
              <w:t>). Count the number of formal registrations. You can multiply the number if more than 1 local government authority signs an MoU or approves several changes.</w:t>
            </w:r>
          </w:p>
        </w:tc>
        <w:tc>
          <w:tcPr>
            <w:tcW w:w="1504" w:type="dxa"/>
            <w:tcBorders>
              <w:top w:val="nil"/>
              <w:left w:val="single" w:sz="4" w:space="0" w:color="BFBFBF" w:themeColor="background1" w:themeShade="BF"/>
              <w:bottom w:val="nil"/>
              <w:right w:val="single" w:sz="4" w:space="0" w:color="BFBFBF" w:themeColor="background1" w:themeShade="BF"/>
            </w:tcBorders>
            <w:shd w:val="clear" w:color="auto" w:fill="FAFAFA"/>
            <w:vAlign w:val="center"/>
          </w:tcPr>
          <w:p w14:paraId="2BACDF6A" w14:textId="6E230C1F" w:rsidR="00860F5D" w:rsidRPr="00860F5D" w:rsidRDefault="00860F5D" w:rsidP="00860F5D">
            <w:pPr>
              <w:spacing w:after="0" w:line="200" w:lineRule="exact"/>
              <w:rPr>
                <w:rFonts w:ascii="Verdana" w:hAnsi="Verdana"/>
                <w:b/>
                <w:bCs/>
                <w:sz w:val="16"/>
                <w:szCs w:val="16"/>
                <w:lang w:val="en-US"/>
              </w:rPr>
            </w:pPr>
            <w:r w:rsidRPr="00860F5D">
              <w:rPr>
                <w:rFonts w:ascii="Verdana" w:hAnsi="Verdana"/>
                <w:b/>
                <w:bCs/>
                <w:sz w:val="16"/>
                <w:szCs w:val="16"/>
                <w:lang w:val="en-US"/>
              </w:rPr>
              <w:t xml:space="preserve">Enabling environment: </w:t>
            </w:r>
            <w:r w:rsidRPr="00B5144A">
              <w:rPr>
                <w:rFonts w:ascii="Verdana" w:hAnsi="Verdana"/>
                <w:sz w:val="16"/>
                <w:szCs w:val="16"/>
                <w:lang w:val="en-US"/>
              </w:rPr>
              <w:t>Only relevant if the project works on improving the enabling environment.</w:t>
            </w:r>
          </w:p>
        </w:tc>
        <w:tc>
          <w:tcPr>
            <w:tcW w:w="1723" w:type="dxa"/>
            <w:tcBorders>
              <w:left w:val="single" w:sz="4" w:space="0" w:color="BFBFBF" w:themeColor="background1" w:themeShade="BF"/>
            </w:tcBorders>
            <w:shd w:val="clear" w:color="auto" w:fill="FAFAFA"/>
          </w:tcPr>
          <w:p w14:paraId="2203A679" w14:textId="77777777" w:rsidR="00860F5D" w:rsidRPr="00E40B30" w:rsidRDefault="00860F5D" w:rsidP="00860F5D">
            <w:pPr>
              <w:spacing w:after="0" w:line="200" w:lineRule="exact"/>
              <w:rPr>
                <w:rFonts w:ascii="Verdana" w:hAnsi="Verdana"/>
                <w:sz w:val="16"/>
                <w:szCs w:val="16"/>
                <w:lang w:val="en-US"/>
              </w:rPr>
            </w:pPr>
          </w:p>
        </w:tc>
      </w:tr>
      <w:tr w:rsidR="00860F5D" w:rsidRPr="00EF684E" w14:paraId="5375AAEF" w14:textId="77777777" w:rsidTr="00B5144A">
        <w:trPr>
          <w:trHeight w:val="1134"/>
        </w:trPr>
        <w:tc>
          <w:tcPr>
            <w:tcW w:w="1962" w:type="dxa"/>
            <w:shd w:val="clear" w:color="auto" w:fill="FAFAFA"/>
          </w:tcPr>
          <w:p w14:paraId="4C202B0D" w14:textId="249702AF"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extent to which enabling environment actors use better networks, new knowledge and improved skills to provide better services to (future) MSMEs and improve policies, regulations and plans that enable sustainable PSD and address local challenges.</w:t>
            </w:r>
          </w:p>
        </w:tc>
        <w:tc>
          <w:tcPr>
            <w:tcW w:w="1861" w:type="dxa"/>
            <w:shd w:val="clear" w:color="auto" w:fill="FAFAFA"/>
          </w:tcPr>
          <w:p w14:paraId="09207D06" w14:textId="7717909D"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1134" w:type="dxa"/>
            <w:shd w:val="clear" w:color="auto" w:fill="FAFAFA"/>
          </w:tcPr>
          <w:p w14:paraId="3E691251" w14:textId="36E23730"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Qualitative</w:t>
            </w:r>
            <w:proofErr w:type="spellEnd"/>
          </w:p>
        </w:tc>
        <w:tc>
          <w:tcPr>
            <w:tcW w:w="850" w:type="dxa"/>
            <w:shd w:val="clear" w:color="auto" w:fill="FAFAFA"/>
          </w:tcPr>
          <w:p w14:paraId="5FF07DAC" w14:textId="0E08C5AB"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851" w:type="dxa"/>
            <w:shd w:val="clear" w:color="auto" w:fill="FAFAFA"/>
          </w:tcPr>
          <w:p w14:paraId="28121DEE" w14:textId="20A47F8B"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5583" w:type="dxa"/>
            <w:tcBorders>
              <w:right w:val="single" w:sz="4" w:space="0" w:color="BFBFBF" w:themeColor="background1" w:themeShade="BF"/>
            </w:tcBorders>
            <w:shd w:val="clear" w:color="auto" w:fill="FAFAFA"/>
          </w:tcPr>
          <w:p w14:paraId="5A130342" w14:textId="457182D4"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xml:space="preserve">Evidence from Impact Clusters via surveys, reflections, interviews with farmers, students, entrepreneurs, and so on. Enabling environment actors use this to gain new knowledge and improved their networks and skills to provide better services to (future) MSMEs. This will help improve their policies, regulations, and plans for sustainable PSD. </w:t>
            </w:r>
            <w:proofErr w:type="spellStart"/>
            <w:r>
              <w:rPr>
                <w:rFonts w:ascii="Calibri" w:hAnsi="Calibri" w:cs="Calibri"/>
                <w:color w:val="000000"/>
                <w:sz w:val="18"/>
                <w:szCs w:val="18"/>
              </w:rPr>
              <w:t>Also</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will</w:t>
            </w:r>
            <w:proofErr w:type="spellEnd"/>
            <w:r>
              <w:rPr>
                <w:rFonts w:ascii="Calibri" w:hAnsi="Calibri" w:cs="Calibri"/>
                <w:color w:val="000000"/>
                <w:sz w:val="18"/>
                <w:szCs w:val="18"/>
              </w:rPr>
              <w:t xml:space="preserve"> help </w:t>
            </w:r>
            <w:proofErr w:type="spellStart"/>
            <w:r>
              <w:rPr>
                <w:rFonts w:ascii="Calibri" w:hAnsi="Calibri" w:cs="Calibri"/>
                <w:color w:val="000000"/>
                <w:sz w:val="18"/>
                <w:szCs w:val="18"/>
              </w:rPr>
              <w:t>them</w:t>
            </w:r>
            <w:proofErr w:type="spellEnd"/>
            <w:r>
              <w:rPr>
                <w:rFonts w:ascii="Calibri" w:hAnsi="Calibri" w:cs="Calibri"/>
                <w:color w:val="000000"/>
                <w:sz w:val="18"/>
                <w:szCs w:val="18"/>
              </w:rPr>
              <w:t xml:space="preserve"> handle </w:t>
            </w:r>
            <w:proofErr w:type="spellStart"/>
            <w:r>
              <w:rPr>
                <w:rFonts w:ascii="Calibri" w:hAnsi="Calibri" w:cs="Calibri"/>
                <w:color w:val="000000"/>
                <w:sz w:val="18"/>
                <w:szCs w:val="18"/>
              </w:rPr>
              <w:t>local</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challenges</w:t>
            </w:r>
            <w:proofErr w:type="spellEnd"/>
            <w:r>
              <w:rPr>
                <w:rFonts w:ascii="Calibri" w:hAnsi="Calibri" w:cs="Calibri"/>
                <w:color w:val="000000"/>
                <w:sz w:val="18"/>
                <w:szCs w:val="18"/>
              </w:rPr>
              <w:t>.</w:t>
            </w:r>
          </w:p>
        </w:tc>
        <w:tc>
          <w:tcPr>
            <w:tcW w:w="150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AFA"/>
          </w:tcPr>
          <w:p w14:paraId="2670E5FA"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FAFAFA"/>
          </w:tcPr>
          <w:p w14:paraId="543369FB" w14:textId="77777777" w:rsidR="00860F5D" w:rsidRPr="00E40B30" w:rsidRDefault="00860F5D" w:rsidP="00860F5D">
            <w:pPr>
              <w:spacing w:after="0" w:line="200" w:lineRule="exact"/>
              <w:rPr>
                <w:rFonts w:ascii="Verdana" w:hAnsi="Verdana"/>
                <w:sz w:val="16"/>
                <w:szCs w:val="16"/>
                <w:lang w:val="en-US"/>
              </w:rPr>
            </w:pPr>
          </w:p>
        </w:tc>
      </w:tr>
      <w:tr w:rsidR="00860F5D" w:rsidRPr="00232478" w14:paraId="7A33491E" w14:textId="77777777" w:rsidTr="00B5144A">
        <w:trPr>
          <w:trHeight w:hRule="exact" w:val="964"/>
        </w:trPr>
        <w:tc>
          <w:tcPr>
            <w:tcW w:w="1962" w:type="dxa"/>
            <w:shd w:val="clear" w:color="auto" w:fill="007BC7"/>
          </w:tcPr>
          <w:p w14:paraId="642B6A1D" w14:textId="696C0CB0" w:rsidR="00860F5D" w:rsidRPr="00860F5D" w:rsidRDefault="00860F5D" w:rsidP="00B5144A">
            <w:pPr>
              <w:spacing w:after="0" w:line="180" w:lineRule="exact"/>
              <w:rPr>
                <w:rFonts w:ascii="Verdana" w:hAnsi="Verdana"/>
                <w:b/>
                <w:bCs/>
                <w:sz w:val="16"/>
                <w:szCs w:val="16"/>
                <w:lang w:val="en-US"/>
              </w:rPr>
            </w:pPr>
            <w:r w:rsidRPr="00860F5D">
              <w:rPr>
                <w:rFonts w:ascii="Verdana" w:hAnsi="Verdana" w:cs="Calibri"/>
                <w:b/>
                <w:bCs/>
                <w:color w:val="FFFFFF"/>
                <w:sz w:val="16"/>
                <w:szCs w:val="16"/>
                <w:lang w:val="en-US"/>
              </w:rPr>
              <w:t>Combi Indicators (only relevant in case of a combi-track)</w:t>
            </w:r>
          </w:p>
        </w:tc>
        <w:tc>
          <w:tcPr>
            <w:tcW w:w="1861" w:type="dxa"/>
            <w:shd w:val="clear" w:color="auto" w:fill="007BC7"/>
          </w:tcPr>
          <w:p w14:paraId="7092CBD3" w14:textId="4C634481" w:rsidR="00860F5D" w:rsidRPr="00860F5D" w:rsidRDefault="00860F5D" w:rsidP="00B5144A">
            <w:pPr>
              <w:spacing w:after="0" w:line="180" w:lineRule="exact"/>
              <w:rPr>
                <w:rFonts w:ascii="Verdana" w:hAnsi="Verdana"/>
                <w:b/>
                <w:bCs/>
                <w:sz w:val="16"/>
                <w:szCs w:val="16"/>
                <w:lang w:val="en-US"/>
              </w:rPr>
            </w:pPr>
            <w:proofErr w:type="spellStart"/>
            <w:r w:rsidRPr="00860F5D">
              <w:rPr>
                <w:rFonts w:ascii="Verdana" w:hAnsi="Verdana" w:cs="Calibri"/>
                <w:b/>
                <w:bCs/>
                <w:color w:val="FFFFFF"/>
                <w:sz w:val="16"/>
                <w:szCs w:val="16"/>
              </w:rPr>
              <w:t>Disaggregation</w:t>
            </w:r>
            <w:proofErr w:type="spellEnd"/>
          </w:p>
        </w:tc>
        <w:tc>
          <w:tcPr>
            <w:tcW w:w="1134" w:type="dxa"/>
            <w:shd w:val="clear" w:color="auto" w:fill="007BC7"/>
          </w:tcPr>
          <w:p w14:paraId="4AA25011" w14:textId="3BF92341" w:rsidR="00860F5D" w:rsidRPr="00860F5D" w:rsidRDefault="00860F5D" w:rsidP="00B5144A">
            <w:pPr>
              <w:spacing w:after="0" w:line="180" w:lineRule="exact"/>
              <w:rPr>
                <w:rFonts w:ascii="Verdana" w:hAnsi="Verdana"/>
                <w:b/>
                <w:bCs/>
                <w:sz w:val="16"/>
                <w:szCs w:val="16"/>
                <w:lang w:val="en-US"/>
              </w:rPr>
            </w:pPr>
            <w:proofErr w:type="spellStart"/>
            <w:r w:rsidRPr="00860F5D">
              <w:rPr>
                <w:rFonts w:ascii="Verdana" w:hAnsi="Verdana" w:cs="Calibri"/>
                <w:b/>
                <w:bCs/>
                <w:color w:val="FFFFFF"/>
                <w:sz w:val="16"/>
                <w:szCs w:val="16"/>
              </w:rPr>
              <w:t>Measure</w:t>
            </w:r>
            <w:proofErr w:type="spellEnd"/>
          </w:p>
        </w:tc>
        <w:tc>
          <w:tcPr>
            <w:tcW w:w="850" w:type="dxa"/>
            <w:shd w:val="clear" w:color="auto" w:fill="007BC7"/>
          </w:tcPr>
          <w:p w14:paraId="4FE6841A" w14:textId="6C39ABF4" w:rsidR="00860F5D" w:rsidRPr="00860F5D" w:rsidRDefault="00860F5D" w:rsidP="00B5144A">
            <w:pPr>
              <w:spacing w:after="0" w:line="180" w:lineRule="exact"/>
              <w:rPr>
                <w:rFonts w:ascii="Verdana" w:hAnsi="Verdana"/>
                <w:b/>
                <w:bCs/>
                <w:sz w:val="16"/>
                <w:szCs w:val="16"/>
                <w:lang w:val="en-US"/>
              </w:rPr>
            </w:pPr>
            <w:r w:rsidRPr="00860F5D">
              <w:rPr>
                <w:rFonts w:ascii="Verdana" w:hAnsi="Verdana" w:cs="Calibri"/>
                <w:b/>
                <w:bCs/>
                <w:color w:val="FFFFFF"/>
                <w:sz w:val="16"/>
                <w:szCs w:val="16"/>
              </w:rPr>
              <w:t>Target</w:t>
            </w:r>
          </w:p>
        </w:tc>
        <w:tc>
          <w:tcPr>
            <w:tcW w:w="851" w:type="dxa"/>
            <w:shd w:val="clear" w:color="auto" w:fill="007BC7"/>
          </w:tcPr>
          <w:p w14:paraId="5966B0CF" w14:textId="7554AE68" w:rsidR="00860F5D" w:rsidRPr="00860F5D" w:rsidRDefault="00860F5D" w:rsidP="00B5144A">
            <w:pPr>
              <w:spacing w:after="0" w:line="180" w:lineRule="exact"/>
              <w:rPr>
                <w:rFonts w:ascii="Verdana" w:hAnsi="Verdana"/>
                <w:b/>
                <w:bCs/>
                <w:sz w:val="16"/>
                <w:szCs w:val="16"/>
                <w:lang w:val="en-US"/>
              </w:rPr>
            </w:pPr>
            <w:proofErr w:type="spellStart"/>
            <w:r w:rsidRPr="00860F5D">
              <w:rPr>
                <w:rFonts w:ascii="Verdana" w:hAnsi="Verdana" w:cs="Calibri"/>
                <w:b/>
                <w:bCs/>
                <w:color w:val="FFFFFF"/>
                <w:sz w:val="16"/>
                <w:szCs w:val="16"/>
              </w:rPr>
              <w:t>Result</w:t>
            </w:r>
            <w:proofErr w:type="spellEnd"/>
          </w:p>
        </w:tc>
        <w:tc>
          <w:tcPr>
            <w:tcW w:w="5583" w:type="dxa"/>
            <w:shd w:val="clear" w:color="auto" w:fill="007BC7"/>
          </w:tcPr>
          <w:p w14:paraId="5399ED75" w14:textId="28F010EF" w:rsidR="00860F5D" w:rsidRPr="00860F5D" w:rsidRDefault="00860F5D" w:rsidP="00B5144A">
            <w:pPr>
              <w:spacing w:after="0" w:line="180" w:lineRule="exact"/>
              <w:rPr>
                <w:rFonts w:ascii="Verdana" w:hAnsi="Verdana"/>
                <w:b/>
                <w:bCs/>
                <w:sz w:val="16"/>
                <w:szCs w:val="16"/>
                <w:lang w:val="en-US"/>
              </w:rPr>
            </w:pPr>
            <w:proofErr w:type="spellStart"/>
            <w:r w:rsidRPr="00860F5D">
              <w:rPr>
                <w:rFonts w:ascii="Verdana" w:hAnsi="Verdana" w:cs="Calibri"/>
                <w:b/>
                <w:bCs/>
                <w:color w:val="FFFFFF"/>
                <w:sz w:val="16"/>
                <w:szCs w:val="16"/>
              </w:rPr>
              <w:t>Explanation</w:t>
            </w:r>
            <w:proofErr w:type="spellEnd"/>
          </w:p>
        </w:tc>
        <w:tc>
          <w:tcPr>
            <w:tcW w:w="1504" w:type="dxa"/>
            <w:tcBorders>
              <w:top w:val="single" w:sz="4" w:space="0" w:color="BFBFBF" w:themeColor="background1" w:themeShade="BF"/>
              <w:bottom w:val="single" w:sz="4" w:space="0" w:color="BFBFBF" w:themeColor="background1" w:themeShade="BF"/>
            </w:tcBorders>
            <w:shd w:val="clear" w:color="auto" w:fill="007BC7"/>
          </w:tcPr>
          <w:p w14:paraId="53378FCC" w14:textId="50F78244" w:rsidR="00860F5D" w:rsidRPr="00860F5D" w:rsidRDefault="00860F5D" w:rsidP="00B5144A">
            <w:pPr>
              <w:spacing w:after="0" w:line="180" w:lineRule="exact"/>
              <w:rPr>
                <w:rFonts w:ascii="Verdana" w:hAnsi="Verdana"/>
                <w:b/>
                <w:bCs/>
                <w:sz w:val="16"/>
                <w:szCs w:val="16"/>
                <w:lang w:val="en-US"/>
              </w:rPr>
            </w:pPr>
            <w:proofErr w:type="spellStart"/>
            <w:r w:rsidRPr="00EF684E">
              <w:rPr>
                <w:rFonts w:ascii="Verdana" w:hAnsi="Verdana"/>
                <w:b/>
                <w:bCs/>
                <w:color w:val="FFFFFF" w:themeColor="background1"/>
                <w:sz w:val="16"/>
                <w:szCs w:val="16"/>
              </w:rPr>
              <w:t>Theme</w:t>
            </w:r>
            <w:proofErr w:type="spellEnd"/>
          </w:p>
        </w:tc>
        <w:tc>
          <w:tcPr>
            <w:tcW w:w="1723" w:type="dxa"/>
            <w:shd w:val="clear" w:color="auto" w:fill="007BC7"/>
          </w:tcPr>
          <w:p w14:paraId="15946D56" w14:textId="424D4943" w:rsidR="00860F5D" w:rsidRPr="00860F5D" w:rsidRDefault="00860F5D" w:rsidP="00B5144A">
            <w:pPr>
              <w:spacing w:after="0" w:line="180" w:lineRule="exact"/>
              <w:rPr>
                <w:rFonts w:ascii="Verdana" w:hAnsi="Verdana"/>
                <w:b/>
                <w:bCs/>
                <w:sz w:val="16"/>
                <w:szCs w:val="16"/>
                <w:lang w:val="en-US"/>
              </w:rPr>
            </w:pPr>
            <w:r w:rsidRPr="00EF684E">
              <w:rPr>
                <w:rFonts w:ascii="Verdana" w:hAnsi="Verdana"/>
                <w:b/>
                <w:bCs/>
                <w:color w:val="FFFFFF" w:themeColor="background1"/>
                <w:sz w:val="16"/>
                <w:szCs w:val="16"/>
                <w:lang w:val="en-US"/>
              </w:rPr>
              <w:t>Please explain whether the indicator is applicable or not</w:t>
            </w:r>
          </w:p>
        </w:tc>
      </w:tr>
      <w:tr w:rsidR="00B5144A" w:rsidRPr="00232478" w14:paraId="5379539B" w14:textId="77777777" w:rsidTr="00B5144A">
        <w:trPr>
          <w:trHeight w:val="1134"/>
        </w:trPr>
        <w:tc>
          <w:tcPr>
            <w:tcW w:w="1962" w:type="dxa"/>
            <w:shd w:val="clear" w:color="auto" w:fill="EFFDE7"/>
          </w:tcPr>
          <w:p w14:paraId="1C88EBAD" w14:textId="01C7A6B0"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beneficiaries reached with measures to increase their resilience or reduce their exposure to climate change as a result of Dutch support.</w:t>
            </w:r>
          </w:p>
        </w:tc>
        <w:tc>
          <w:tcPr>
            <w:tcW w:w="1861" w:type="dxa"/>
            <w:shd w:val="clear" w:color="auto" w:fill="EFFDE7"/>
          </w:tcPr>
          <w:p w14:paraId="4BC6155A" w14:textId="6BE8803D"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Women</w:t>
            </w:r>
            <w:proofErr w:type="spellEnd"/>
            <w:r>
              <w:rPr>
                <w:rFonts w:ascii="Calibri" w:hAnsi="Calibri" w:cs="Calibri"/>
                <w:color w:val="000000"/>
                <w:sz w:val="18"/>
                <w:szCs w:val="18"/>
              </w:rPr>
              <w:t xml:space="preserve">, </w:t>
            </w:r>
            <w:r>
              <w:rPr>
                <w:rFonts w:ascii="Calibri" w:hAnsi="Calibri" w:cs="Calibri"/>
                <w:color w:val="000000"/>
                <w:sz w:val="18"/>
                <w:szCs w:val="18"/>
              </w:rPr>
              <w:br/>
              <w:t>Total</w:t>
            </w:r>
          </w:p>
        </w:tc>
        <w:tc>
          <w:tcPr>
            <w:tcW w:w="1134" w:type="dxa"/>
            <w:shd w:val="clear" w:color="auto" w:fill="EFFDE7"/>
          </w:tcPr>
          <w:p w14:paraId="092DFECE" w14:textId="18C1759C"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Quantative</w:t>
            </w:r>
            <w:proofErr w:type="spellEnd"/>
          </w:p>
        </w:tc>
        <w:tc>
          <w:tcPr>
            <w:tcW w:w="850" w:type="dxa"/>
            <w:shd w:val="clear" w:color="auto" w:fill="EFFDE7"/>
          </w:tcPr>
          <w:p w14:paraId="4494E7E6" w14:textId="5F54D105"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FFDE7"/>
          </w:tcPr>
          <w:p w14:paraId="1F912BD6" w14:textId="5D0A71AC"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FFEEDD"/>
          </w:tcPr>
          <w:p w14:paraId="46986F0E" w14:textId="661D60FB" w:rsidR="00860F5D" w:rsidRDefault="00860F5D" w:rsidP="00860F5D">
            <w:pPr>
              <w:spacing w:after="0" w:line="200" w:lineRule="exact"/>
              <w:rPr>
                <w:rFonts w:ascii="Calibri" w:hAnsi="Calibri" w:cs="Calibri"/>
                <w:color w:val="000000"/>
                <w:sz w:val="18"/>
                <w:szCs w:val="18"/>
                <w:lang w:val="en-US"/>
              </w:rPr>
            </w:pPr>
            <w:r w:rsidRPr="00860F5D">
              <w:rPr>
                <w:rFonts w:ascii="Calibri" w:hAnsi="Calibri" w:cs="Calibri"/>
                <w:color w:val="000000"/>
                <w:sz w:val="18"/>
                <w:szCs w:val="18"/>
                <w:lang w:val="en-US"/>
              </w:rPr>
              <w:t>This indicator tracks the number of people in the target country</w:t>
            </w:r>
            <w:r w:rsidR="00D36C1E">
              <w:rPr>
                <w:rFonts w:ascii="Calibri" w:hAnsi="Calibri" w:cs="Calibri"/>
                <w:color w:val="000000"/>
                <w:sz w:val="18"/>
                <w:szCs w:val="18"/>
                <w:lang w:val="en-US"/>
              </w:rPr>
              <w:t xml:space="preserve"> </w:t>
            </w:r>
            <w:r w:rsidRPr="00860F5D">
              <w:rPr>
                <w:rFonts w:ascii="Calibri" w:hAnsi="Calibri" w:cs="Calibri"/>
                <w:color w:val="000000"/>
                <w:sz w:val="18"/>
                <w:szCs w:val="18"/>
                <w:lang w:val="en-US"/>
              </w:rPr>
              <w:t>experiencing resilience or reduced exposure to climate change. It concerns changes due to Dutch support via combi-track.</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Climate change adaptation aims to reduce the vulnerability of human or natural systems to the current and expected impacts. This includes climate variability by maintaining or increasing resilience through increased ability to adapt to or absorb climate change stresses, shocks and variability by helping reduce exposure.</w:t>
            </w:r>
            <w:r w:rsidRPr="00860F5D">
              <w:rPr>
                <w:rFonts w:ascii="Calibri" w:hAnsi="Calibri" w:cs="Calibri"/>
                <w:color w:val="000000"/>
                <w:sz w:val="18"/>
                <w:szCs w:val="18"/>
                <w:lang w:val="en-US"/>
              </w:rPr>
              <w:br/>
              <w:t xml:space="preserve">Dutch support: Support given by a Dutch company or </w:t>
            </w:r>
            <w:proofErr w:type="spellStart"/>
            <w:r w:rsidRPr="00860F5D">
              <w:rPr>
                <w:rFonts w:ascii="Calibri" w:hAnsi="Calibri" w:cs="Calibri"/>
                <w:color w:val="000000"/>
                <w:sz w:val="18"/>
                <w:szCs w:val="18"/>
                <w:lang w:val="en-US"/>
              </w:rPr>
              <w:t>organisation</w:t>
            </w:r>
            <w:proofErr w:type="spellEnd"/>
            <w:r w:rsidRPr="00860F5D">
              <w:rPr>
                <w:rFonts w:ascii="Calibri" w:hAnsi="Calibri" w:cs="Calibri"/>
                <w:color w:val="000000"/>
                <w:sz w:val="18"/>
                <w:szCs w:val="18"/>
                <w:lang w:val="en-US"/>
              </w:rPr>
              <w:t xml:space="preserve"> in the target country via defined combi-track activities.</w:t>
            </w:r>
          </w:p>
          <w:p w14:paraId="1F4B7CF2" w14:textId="60E95642" w:rsidR="00B5144A" w:rsidRPr="00B5144A" w:rsidRDefault="00B5144A" w:rsidP="00B5144A">
            <w:pPr>
              <w:tabs>
                <w:tab w:val="left" w:pos="3495"/>
              </w:tabs>
              <w:rPr>
                <w:rFonts w:ascii="Verdana" w:hAnsi="Verdana"/>
                <w:sz w:val="16"/>
                <w:szCs w:val="16"/>
                <w:lang w:val="en-US"/>
              </w:rPr>
            </w:pPr>
            <w:r>
              <w:rPr>
                <w:rFonts w:ascii="Verdana" w:hAnsi="Verdana"/>
                <w:sz w:val="16"/>
                <w:szCs w:val="16"/>
                <w:lang w:val="en-US"/>
              </w:rPr>
              <w:tab/>
            </w:r>
          </w:p>
        </w:tc>
        <w:tc>
          <w:tcPr>
            <w:tcW w:w="150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EFFDE7"/>
          </w:tcPr>
          <w:p w14:paraId="2E051F57"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FFDE7"/>
          </w:tcPr>
          <w:p w14:paraId="159014C4" w14:textId="77777777" w:rsidR="00860F5D" w:rsidRPr="00E40B30" w:rsidRDefault="00860F5D" w:rsidP="00860F5D">
            <w:pPr>
              <w:spacing w:after="0" w:line="200" w:lineRule="exact"/>
              <w:rPr>
                <w:rFonts w:ascii="Verdana" w:hAnsi="Verdana"/>
                <w:sz w:val="16"/>
                <w:szCs w:val="16"/>
                <w:lang w:val="en-US"/>
              </w:rPr>
            </w:pPr>
          </w:p>
        </w:tc>
      </w:tr>
      <w:tr w:rsidR="00B5144A" w:rsidRPr="00232478" w14:paraId="379B3825" w14:textId="77777777" w:rsidTr="00B5144A">
        <w:trPr>
          <w:trHeight w:val="1134"/>
        </w:trPr>
        <w:tc>
          <w:tcPr>
            <w:tcW w:w="1962" w:type="dxa"/>
            <w:shd w:val="clear" w:color="auto" w:fill="EFFDE7"/>
          </w:tcPr>
          <w:p w14:paraId="7089482F" w14:textId="67927DDA"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lastRenderedPageBreak/>
              <w:t>Hectares of land under sustainable management or other improved practices that contribute to the ecosystem's increased adaptive capacity (including forests, farmland and river basins/deltas) due to Dutch support.</w:t>
            </w:r>
          </w:p>
        </w:tc>
        <w:tc>
          <w:tcPr>
            <w:tcW w:w="1861" w:type="dxa"/>
            <w:shd w:val="clear" w:color="auto" w:fill="EFFDE7"/>
          </w:tcPr>
          <w:p w14:paraId="5DA31BF9" w14:textId="79408E51"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w:t>
            </w:r>
          </w:p>
        </w:tc>
        <w:tc>
          <w:tcPr>
            <w:tcW w:w="1134" w:type="dxa"/>
            <w:shd w:val="clear" w:color="auto" w:fill="EFFDE7"/>
          </w:tcPr>
          <w:p w14:paraId="557504AF" w14:textId="7A40C6CA"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Quantative</w:t>
            </w:r>
            <w:proofErr w:type="spellEnd"/>
          </w:p>
        </w:tc>
        <w:tc>
          <w:tcPr>
            <w:tcW w:w="850" w:type="dxa"/>
            <w:shd w:val="clear" w:color="auto" w:fill="EFFDE7"/>
          </w:tcPr>
          <w:p w14:paraId="054196A1" w14:textId="6B939C4F"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FFDE7"/>
          </w:tcPr>
          <w:p w14:paraId="403C44ED" w14:textId="749DF12E"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FFEEDD"/>
          </w:tcPr>
          <w:p w14:paraId="632D18E7" w14:textId="5FDA8833"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This indicator tracks the number of hectares of land reached with interventions aiming to increase biodiversity or to decrease biodiversity loss.</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Adaptive capacity: Adaptive capacity is the potential or ability of a system, region, or community to adapt to the effects or impacts of climate change. Enhancement of adaptive capacity represents a practical means of coping with changes and uncertainties in climate, including variability and extremes (IPCC).</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 xml:space="preserve">Ecosystems: An ecosystem is a system in which living things (plants, animals, bacteria, and so on) and their non-living surroundings interact as a functional unit (EU). </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 xml:space="preserve">Dutch support: Support given by a Dutch company or </w:t>
            </w:r>
            <w:proofErr w:type="spellStart"/>
            <w:r w:rsidRPr="00860F5D">
              <w:rPr>
                <w:rFonts w:ascii="Calibri" w:hAnsi="Calibri" w:cs="Calibri"/>
                <w:color w:val="000000"/>
                <w:sz w:val="18"/>
                <w:szCs w:val="18"/>
                <w:lang w:val="en-US"/>
              </w:rPr>
              <w:t>organisation</w:t>
            </w:r>
            <w:proofErr w:type="spellEnd"/>
            <w:r w:rsidRPr="00860F5D">
              <w:rPr>
                <w:rFonts w:ascii="Calibri" w:hAnsi="Calibri" w:cs="Calibri"/>
                <w:color w:val="000000"/>
                <w:sz w:val="18"/>
                <w:szCs w:val="18"/>
                <w:lang w:val="en-US"/>
              </w:rPr>
              <w:t xml:space="preserve"> via defined combi-track activities in the target country.</w:t>
            </w:r>
          </w:p>
        </w:tc>
        <w:tc>
          <w:tcPr>
            <w:tcW w:w="1504" w:type="dxa"/>
            <w:tcBorders>
              <w:top w:val="nil"/>
              <w:left w:val="single" w:sz="4" w:space="0" w:color="BFBFBF" w:themeColor="background1" w:themeShade="BF"/>
              <w:bottom w:val="nil"/>
              <w:right w:val="single" w:sz="4" w:space="0" w:color="BFBFBF" w:themeColor="background1" w:themeShade="BF"/>
            </w:tcBorders>
            <w:shd w:val="clear" w:color="auto" w:fill="EFFDE7"/>
          </w:tcPr>
          <w:p w14:paraId="542149D5"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FFDE7"/>
          </w:tcPr>
          <w:p w14:paraId="1C1A4A25" w14:textId="77777777" w:rsidR="00860F5D" w:rsidRPr="00E40B30" w:rsidRDefault="00860F5D" w:rsidP="00860F5D">
            <w:pPr>
              <w:spacing w:after="0" w:line="200" w:lineRule="exact"/>
              <w:rPr>
                <w:rFonts w:ascii="Verdana" w:hAnsi="Verdana"/>
                <w:sz w:val="16"/>
                <w:szCs w:val="16"/>
                <w:lang w:val="en-US"/>
              </w:rPr>
            </w:pPr>
          </w:p>
        </w:tc>
      </w:tr>
      <w:tr w:rsidR="00B5144A" w:rsidRPr="00232478" w14:paraId="3831F4B1" w14:textId="77777777" w:rsidTr="00B5144A">
        <w:trPr>
          <w:trHeight w:val="1134"/>
        </w:trPr>
        <w:tc>
          <w:tcPr>
            <w:tcW w:w="1962" w:type="dxa"/>
            <w:shd w:val="clear" w:color="auto" w:fill="EFFDE7"/>
          </w:tcPr>
          <w:p w14:paraId="58C5C0F3" w14:textId="0D5194EB"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direct beneficiaries supported to have raised incomes.</w:t>
            </w:r>
          </w:p>
        </w:tc>
        <w:tc>
          <w:tcPr>
            <w:tcW w:w="1861" w:type="dxa"/>
            <w:shd w:val="clear" w:color="auto" w:fill="EFFDE7"/>
          </w:tcPr>
          <w:p w14:paraId="35881E7E" w14:textId="34FE5CDB"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Women</w:t>
            </w:r>
            <w:proofErr w:type="spellEnd"/>
            <w:r>
              <w:rPr>
                <w:rFonts w:ascii="Calibri" w:hAnsi="Calibri" w:cs="Calibri"/>
                <w:color w:val="000000"/>
                <w:sz w:val="18"/>
                <w:szCs w:val="18"/>
              </w:rPr>
              <w:t xml:space="preserve">, </w:t>
            </w:r>
            <w:r>
              <w:rPr>
                <w:rFonts w:ascii="Calibri" w:hAnsi="Calibri" w:cs="Calibri"/>
                <w:color w:val="000000"/>
                <w:sz w:val="18"/>
                <w:szCs w:val="18"/>
              </w:rPr>
              <w:br/>
            </w:r>
            <w:proofErr w:type="spellStart"/>
            <w:r>
              <w:rPr>
                <w:rFonts w:ascii="Calibri" w:hAnsi="Calibri" w:cs="Calibri"/>
                <w:color w:val="000000"/>
                <w:sz w:val="18"/>
                <w:szCs w:val="18"/>
              </w:rPr>
              <w:t>Youth</w:t>
            </w:r>
            <w:proofErr w:type="spellEnd"/>
            <w:r>
              <w:rPr>
                <w:rFonts w:ascii="Calibri" w:hAnsi="Calibri" w:cs="Calibri"/>
                <w:color w:val="000000"/>
                <w:sz w:val="18"/>
                <w:szCs w:val="18"/>
              </w:rPr>
              <w:t xml:space="preserve"> (18-35), </w:t>
            </w:r>
            <w:r>
              <w:rPr>
                <w:rFonts w:ascii="Calibri" w:hAnsi="Calibri" w:cs="Calibri"/>
                <w:color w:val="000000"/>
                <w:sz w:val="18"/>
                <w:szCs w:val="18"/>
              </w:rPr>
              <w:br/>
              <w:t>Total</w:t>
            </w:r>
          </w:p>
        </w:tc>
        <w:tc>
          <w:tcPr>
            <w:tcW w:w="1134" w:type="dxa"/>
            <w:shd w:val="clear" w:color="auto" w:fill="EFFDE7"/>
          </w:tcPr>
          <w:p w14:paraId="4206970C" w14:textId="4BA9165F"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Quantative</w:t>
            </w:r>
            <w:proofErr w:type="spellEnd"/>
          </w:p>
        </w:tc>
        <w:tc>
          <w:tcPr>
            <w:tcW w:w="850" w:type="dxa"/>
            <w:shd w:val="clear" w:color="auto" w:fill="EFFDE7"/>
          </w:tcPr>
          <w:p w14:paraId="11DD87F2" w14:textId="233ACF95"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FFDE7"/>
          </w:tcPr>
          <w:p w14:paraId="7AB5078E" w14:textId="2F6E37E7"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FFEEDD"/>
          </w:tcPr>
          <w:p w14:paraId="0DEFDF14" w14:textId="2BDD3229"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xml:space="preserve">The number of directly supported individuals with a documented, relative income increase between baseline and successive reporting periods. Collect this information by asking people to record information in financial diaries. For example, the number of transactions and the commission earned per transaction or the before/after surveys. </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In case of limited resources, PSD actors can collect data at the start (baseline) and the end (ending) of the intervention or investment. A mid-term, more minor data collection effort may be considered to keep track, especially for longer-term interventions or investments.</w:t>
            </w:r>
          </w:p>
        </w:tc>
        <w:tc>
          <w:tcPr>
            <w:tcW w:w="1504" w:type="dxa"/>
            <w:tcBorders>
              <w:top w:val="nil"/>
              <w:left w:val="single" w:sz="4" w:space="0" w:color="BFBFBF" w:themeColor="background1" w:themeShade="BF"/>
              <w:bottom w:val="nil"/>
              <w:right w:val="single" w:sz="4" w:space="0" w:color="BFBFBF" w:themeColor="background1" w:themeShade="BF"/>
            </w:tcBorders>
            <w:shd w:val="clear" w:color="auto" w:fill="EFFDE7"/>
          </w:tcPr>
          <w:p w14:paraId="61180835" w14:textId="77777777" w:rsidR="00B5144A" w:rsidRPr="00B5144A" w:rsidRDefault="00B5144A" w:rsidP="00860F5D">
            <w:pPr>
              <w:spacing w:after="0" w:line="200" w:lineRule="exact"/>
              <w:rPr>
                <w:rFonts w:ascii="Verdana" w:hAnsi="Verdana"/>
                <w:b/>
                <w:bCs/>
                <w:sz w:val="16"/>
                <w:szCs w:val="16"/>
                <w:lang w:val="en-US"/>
              </w:rPr>
            </w:pPr>
            <w:r w:rsidRPr="00B5144A">
              <w:rPr>
                <w:rFonts w:ascii="Verdana" w:hAnsi="Verdana"/>
                <w:b/>
                <w:bCs/>
                <w:sz w:val="16"/>
                <w:szCs w:val="16"/>
                <w:lang w:val="en-US"/>
              </w:rPr>
              <w:t xml:space="preserve">Exclusive combi-approach indicators: </w:t>
            </w:r>
          </w:p>
          <w:p w14:paraId="464DCBEC" w14:textId="6B56195D" w:rsidR="00860F5D" w:rsidRPr="00E40B30" w:rsidRDefault="00B5144A" w:rsidP="00860F5D">
            <w:pPr>
              <w:spacing w:after="0" w:line="200" w:lineRule="exact"/>
              <w:rPr>
                <w:rFonts w:ascii="Verdana" w:hAnsi="Verdana"/>
                <w:sz w:val="16"/>
                <w:szCs w:val="16"/>
                <w:lang w:val="en-US"/>
              </w:rPr>
            </w:pPr>
            <w:r w:rsidRPr="00B5144A">
              <w:rPr>
                <w:rFonts w:ascii="Verdana" w:hAnsi="Verdana"/>
                <w:sz w:val="16"/>
                <w:szCs w:val="16"/>
                <w:lang w:val="en-US"/>
              </w:rPr>
              <w:t>Only relevant if Impact Clusters is part of a combi-track.</w:t>
            </w:r>
          </w:p>
        </w:tc>
        <w:tc>
          <w:tcPr>
            <w:tcW w:w="1723" w:type="dxa"/>
            <w:tcBorders>
              <w:left w:val="single" w:sz="4" w:space="0" w:color="BFBFBF" w:themeColor="background1" w:themeShade="BF"/>
            </w:tcBorders>
            <w:shd w:val="clear" w:color="auto" w:fill="EFFDE7"/>
          </w:tcPr>
          <w:p w14:paraId="3194E56B" w14:textId="77777777" w:rsidR="00860F5D" w:rsidRPr="00E40B30" w:rsidRDefault="00860F5D" w:rsidP="00860F5D">
            <w:pPr>
              <w:spacing w:after="0" w:line="200" w:lineRule="exact"/>
              <w:rPr>
                <w:rFonts w:ascii="Verdana" w:hAnsi="Verdana"/>
                <w:sz w:val="16"/>
                <w:szCs w:val="16"/>
                <w:lang w:val="en-US"/>
              </w:rPr>
            </w:pPr>
          </w:p>
        </w:tc>
      </w:tr>
      <w:tr w:rsidR="00B5144A" w:rsidRPr="00EF684E" w14:paraId="78743ECE" w14:textId="77777777" w:rsidTr="00B5144A">
        <w:trPr>
          <w:trHeight w:val="1134"/>
        </w:trPr>
        <w:tc>
          <w:tcPr>
            <w:tcW w:w="1962" w:type="dxa"/>
            <w:shd w:val="clear" w:color="auto" w:fill="EFFDE7"/>
          </w:tcPr>
          <w:p w14:paraId="6F84F454" w14:textId="4B6E531A" w:rsidR="00860F5D" w:rsidRPr="00E40B30" w:rsidRDefault="00860F5D" w:rsidP="00860F5D">
            <w:pPr>
              <w:spacing w:after="0" w:line="200" w:lineRule="exact"/>
              <w:rPr>
                <w:rFonts w:ascii="Verdana" w:hAnsi="Verdana"/>
                <w:sz w:val="16"/>
                <w:szCs w:val="16"/>
                <w:lang w:val="en-US"/>
              </w:rPr>
            </w:pPr>
            <w:r w:rsidRPr="00860F5D">
              <w:rPr>
                <w:rFonts w:ascii="Calibri" w:hAnsi="Calibri" w:cs="Calibri"/>
                <w:sz w:val="18"/>
                <w:szCs w:val="18"/>
                <w:lang w:val="en-US"/>
              </w:rPr>
              <w:t xml:space="preserve">The amount of </w:t>
            </w:r>
            <w:proofErr w:type="spellStart"/>
            <w:r w:rsidRPr="00860F5D">
              <w:rPr>
                <w:rFonts w:ascii="Calibri" w:hAnsi="Calibri" w:cs="Calibri"/>
                <w:sz w:val="18"/>
                <w:szCs w:val="18"/>
                <w:lang w:val="en-US"/>
              </w:rPr>
              <w:t>mobilised</w:t>
            </w:r>
            <w:proofErr w:type="spellEnd"/>
            <w:r w:rsidRPr="00860F5D">
              <w:rPr>
                <w:rFonts w:ascii="Calibri" w:hAnsi="Calibri" w:cs="Calibri"/>
                <w:sz w:val="18"/>
                <w:szCs w:val="18"/>
                <w:lang w:val="en-US"/>
              </w:rPr>
              <w:t xml:space="preserve"> private finance (in thousands of euros).</w:t>
            </w:r>
          </w:p>
        </w:tc>
        <w:tc>
          <w:tcPr>
            <w:tcW w:w="1861" w:type="dxa"/>
            <w:shd w:val="clear" w:color="auto" w:fill="EFFDE7"/>
          </w:tcPr>
          <w:p w14:paraId="5A9E2609" w14:textId="092D9083" w:rsidR="00860F5D" w:rsidRPr="00E40B30" w:rsidRDefault="00860F5D" w:rsidP="00860F5D">
            <w:pPr>
              <w:spacing w:after="0" w:line="200" w:lineRule="exact"/>
              <w:rPr>
                <w:rFonts w:ascii="Verdana" w:hAnsi="Verdana"/>
                <w:sz w:val="16"/>
                <w:szCs w:val="16"/>
                <w:lang w:val="en-US"/>
              </w:rPr>
            </w:pPr>
            <w:r w:rsidRPr="00860F5D">
              <w:rPr>
                <w:rFonts w:ascii="Calibri" w:hAnsi="Calibri" w:cs="Calibri"/>
                <w:sz w:val="18"/>
                <w:szCs w:val="18"/>
                <w:lang w:val="en-US"/>
              </w:rPr>
              <w:t> </w:t>
            </w:r>
          </w:p>
        </w:tc>
        <w:tc>
          <w:tcPr>
            <w:tcW w:w="1134" w:type="dxa"/>
            <w:shd w:val="clear" w:color="auto" w:fill="EFFDE7"/>
          </w:tcPr>
          <w:p w14:paraId="00261A4A" w14:textId="089C84B5"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sz w:val="18"/>
                <w:szCs w:val="18"/>
              </w:rPr>
              <w:t>Quantitative</w:t>
            </w:r>
            <w:proofErr w:type="spellEnd"/>
          </w:p>
        </w:tc>
        <w:tc>
          <w:tcPr>
            <w:tcW w:w="850" w:type="dxa"/>
            <w:shd w:val="clear" w:color="auto" w:fill="EFFDE7"/>
          </w:tcPr>
          <w:p w14:paraId="50CB3564" w14:textId="2F08CAAA" w:rsidR="00860F5D" w:rsidRPr="00E40B30" w:rsidRDefault="00860F5D" w:rsidP="00860F5D">
            <w:pPr>
              <w:spacing w:after="0" w:line="200" w:lineRule="exact"/>
              <w:rPr>
                <w:rFonts w:ascii="Verdana" w:hAnsi="Verdana"/>
                <w:sz w:val="16"/>
                <w:szCs w:val="16"/>
                <w:lang w:val="en-US"/>
              </w:rPr>
            </w:pPr>
            <w:r>
              <w:rPr>
                <w:rFonts w:ascii="Calibri" w:hAnsi="Calibri" w:cs="Calibri"/>
                <w:sz w:val="18"/>
                <w:szCs w:val="18"/>
              </w:rPr>
              <w:t> </w:t>
            </w:r>
          </w:p>
        </w:tc>
        <w:tc>
          <w:tcPr>
            <w:tcW w:w="851" w:type="dxa"/>
            <w:shd w:val="clear" w:color="auto" w:fill="EFFDE7"/>
          </w:tcPr>
          <w:p w14:paraId="1ECC1320" w14:textId="4A44F66D" w:rsidR="00860F5D" w:rsidRPr="00E40B30" w:rsidRDefault="00860F5D" w:rsidP="00860F5D">
            <w:pPr>
              <w:spacing w:after="0" w:line="200" w:lineRule="exact"/>
              <w:rPr>
                <w:rFonts w:ascii="Verdana" w:hAnsi="Verdana"/>
                <w:sz w:val="16"/>
                <w:szCs w:val="16"/>
                <w:lang w:val="en-US"/>
              </w:rPr>
            </w:pPr>
            <w:r>
              <w:rPr>
                <w:rFonts w:ascii="Calibri" w:hAnsi="Calibri" w:cs="Calibri"/>
                <w:sz w:val="18"/>
                <w:szCs w:val="18"/>
              </w:rPr>
              <w:t> </w:t>
            </w:r>
          </w:p>
        </w:tc>
        <w:tc>
          <w:tcPr>
            <w:tcW w:w="5583" w:type="dxa"/>
            <w:tcBorders>
              <w:right w:val="single" w:sz="4" w:space="0" w:color="BFBFBF" w:themeColor="background1" w:themeShade="BF"/>
            </w:tcBorders>
            <w:shd w:val="clear" w:color="auto" w:fill="FFEEDD"/>
          </w:tcPr>
          <w:p w14:paraId="160673AA" w14:textId="0C77DEBE" w:rsidR="00860F5D" w:rsidRPr="00E40B30" w:rsidRDefault="00860F5D" w:rsidP="00860F5D">
            <w:pPr>
              <w:spacing w:after="0" w:line="200" w:lineRule="exact"/>
              <w:rPr>
                <w:rFonts w:ascii="Verdana" w:hAnsi="Verdana"/>
                <w:sz w:val="16"/>
                <w:szCs w:val="16"/>
                <w:lang w:val="en-US"/>
              </w:rPr>
            </w:pPr>
            <w:proofErr w:type="spellStart"/>
            <w:r w:rsidRPr="00860F5D">
              <w:rPr>
                <w:rFonts w:ascii="Calibri" w:hAnsi="Calibri" w:cs="Calibri"/>
                <w:sz w:val="18"/>
                <w:szCs w:val="18"/>
                <w:lang w:val="en-US"/>
              </w:rPr>
              <w:t>Mobilised</w:t>
            </w:r>
            <w:proofErr w:type="spellEnd"/>
            <w:r w:rsidRPr="00860F5D">
              <w:rPr>
                <w:rFonts w:ascii="Calibri" w:hAnsi="Calibri" w:cs="Calibri"/>
                <w:sz w:val="18"/>
                <w:szCs w:val="18"/>
                <w:lang w:val="en-US"/>
              </w:rPr>
              <w:t xml:space="preserve"> private finance is the amount of finance generated from private resources in a particular year that can be reasonably and directly linked to the Impact Clusters </w:t>
            </w:r>
            <w:proofErr w:type="spellStart"/>
            <w:r w:rsidRPr="00860F5D">
              <w:rPr>
                <w:rFonts w:ascii="Calibri" w:hAnsi="Calibri" w:cs="Calibri"/>
                <w:sz w:val="18"/>
                <w:szCs w:val="18"/>
                <w:lang w:val="en-US"/>
              </w:rPr>
              <w:t>programme</w:t>
            </w:r>
            <w:proofErr w:type="spellEnd"/>
            <w:r w:rsidRPr="00860F5D">
              <w:rPr>
                <w:rFonts w:ascii="Calibri" w:hAnsi="Calibri" w:cs="Calibri"/>
                <w:sz w:val="18"/>
                <w:szCs w:val="18"/>
                <w:lang w:val="en-US"/>
              </w:rPr>
              <w:t xml:space="preserve">. Fill out the amount in thousands of euros. This indicator does not include in-kind investments. </w:t>
            </w:r>
            <w:r>
              <w:rPr>
                <w:rFonts w:ascii="Calibri" w:hAnsi="Calibri" w:cs="Calibri"/>
                <w:sz w:val="18"/>
                <w:szCs w:val="18"/>
              </w:rPr>
              <w:t xml:space="preserve">For </w:t>
            </w:r>
            <w:proofErr w:type="spellStart"/>
            <w:r>
              <w:rPr>
                <w:rFonts w:ascii="Calibri" w:hAnsi="Calibri" w:cs="Calibri"/>
                <w:sz w:val="18"/>
                <w:szCs w:val="18"/>
              </w:rPr>
              <w:t>example</w:t>
            </w:r>
            <w:proofErr w:type="spellEnd"/>
            <w:r>
              <w:rPr>
                <w:rFonts w:ascii="Calibri" w:hAnsi="Calibri" w:cs="Calibri"/>
                <w:sz w:val="18"/>
                <w:szCs w:val="18"/>
              </w:rPr>
              <w:t xml:space="preserve">, </w:t>
            </w:r>
            <w:proofErr w:type="spellStart"/>
            <w:r>
              <w:rPr>
                <w:rFonts w:ascii="Calibri" w:hAnsi="Calibri" w:cs="Calibri"/>
                <w:sz w:val="18"/>
                <w:szCs w:val="18"/>
              </w:rPr>
              <w:t>allocated</w:t>
            </w:r>
            <w:proofErr w:type="spellEnd"/>
            <w:r>
              <w:rPr>
                <w:rFonts w:ascii="Calibri" w:hAnsi="Calibri" w:cs="Calibri"/>
                <w:sz w:val="18"/>
                <w:szCs w:val="18"/>
              </w:rPr>
              <w:t xml:space="preserve"> time or </w:t>
            </w:r>
            <w:proofErr w:type="spellStart"/>
            <w:r>
              <w:rPr>
                <w:rFonts w:ascii="Calibri" w:hAnsi="Calibri" w:cs="Calibri"/>
                <w:sz w:val="18"/>
                <w:szCs w:val="18"/>
              </w:rPr>
              <w:t>other</w:t>
            </w:r>
            <w:proofErr w:type="spellEnd"/>
            <w:r>
              <w:rPr>
                <w:rFonts w:ascii="Calibri" w:hAnsi="Calibri" w:cs="Calibri"/>
                <w:sz w:val="18"/>
                <w:szCs w:val="18"/>
              </w:rPr>
              <w:t xml:space="preserve"> non-cash support. </w:t>
            </w:r>
          </w:p>
        </w:tc>
        <w:tc>
          <w:tcPr>
            <w:tcW w:w="1504" w:type="dxa"/>
            <w:tcBorders>
              <w:top w:val="nil"/>
              <w:left w:val="single" w:sz="4" w:space="0" w:color="BFBFBF" w:themeColor="background1" w:themeShade="BF"/>
              <w:bottom w:val="nil"/>
              <w:right w:val="single" w:sz="4" w:space="0" w:color="BFBFBF" w:themeColor="background1" w:themeShade="BF"/>
            </w:tcBorders>
            <w:shd w:val="clear" w:color="auto" w:fill="EFFDE7"/>
          </w:tcPr>
          <w:p w14:paraId="10900DB6"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FFDE7"/>
          </w:tcPr>
          <w:p w14:paraId="016AC781" w14:textId="77777777" w:rsidR="00860F5D" w:rsidRPr="00E40B30" w:rsidRDefault="00860F5D" w:rsidP="00860F5D">
            <w:pPr>
              <w:spacing w:after="0" w:line="200" w:lineRule="exact"/>
              <w:rPr>
                <w:rFonts w:ascii="Verdana" w:hAnsi="Verdana"/>
                <w:sz w:val="16"/>
                <w:szCs w:val="16"/>
                <w:lang w:val="en-US"/>
              </w:rPr>
            </w:pPr>
          </w:p>
        </w:tc>
      </w:tr>
      <w:tr w:rsidR="00B5144A" w:rsidRPr="00232478" w14:paraId="4B90DA20" w14:textId="77777777" w:rsidTr="00B5144A">
        <w:trPr>
          <w:trHeight w:val="1134"/>
        </w:trPr>
        <w:tc>
          <w:tcPr>
            <w:tcW w:w="1962" w:type="dxa"/>
            <w:shd w:val="clear" w:color="auto" w:fill="EFFDE7"/>
          </w:tcPr>
          <w:p w14:paraId="1E9A65B7" w14:textId="0329ECF3"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direct jobs individually supported in MSMEs (in FTE).</w:t>
            </w:r>
          </w:p>
        </w:tc>
        <w:tc>
          <w:tcPr>
            <w:tcW w:w="1861" w:type="dxa"/>
            <w:shd w:val="clear" w:color="auto" w:fill="EFFDE7"/>
          </w:tcPr>
          <w:p w14:paraId="243CECAF" w14:textId="47CC25ED"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Women</w:t>
            </w:r>
            <w:proofErr w:type="spellEnd"/>
            <w:r>
              <w:rPr>
                <w:rFonts w:ascii="Calibri" w:hAnsi="Calibri" w:cs="Calibri"/>
                <w:color w:val="000000"/>
                <w:sz w:val="18"/>
                <w:szCs w:val="18"/>
              </w:rPr>
              <w:t>,</w:t>
            </w:r>
            <w:r>
              <w:rPr>
                <w:rFonts w:ascii="Calibri" w:hAnsi="Calibri" w:cs="Calibri"/>
                <w:color w:val="000000"/>
                <w:sz w:val="18"/>
                <w:szCs w:val="18"/>
              </w:rPr>
              <w:br/>
            </w:r>
            <w:proofErr w:type="spellStart"/>
            <w:r>
              <w:rPr>
                <w:rFonts w:ascii="Calibri" w:hAnsi="Calibri" w:cs="Calibri"/>
                <w:color w:val="000000"/>
                <w:sz w:val="18"/>
                <w:szCs w:val="18"/>
              </w:rPr>
              <w:t>Youth</w:t>
            </w:r>
            <w:proofErr w:type="spellEnd"/>
            <w:r>
              <w:rPr>
                <w:rFonts w:ascii="Calibri" w:hAnsi="Calibri" w:cs="Calibri"/>
                <w:color w:val="000000"/>
                <w:sz w:val="18"/>
                <w:szCs w:val="18"/>
              </w:rPr>
              <w:t xml:space="preserve"> (18-35), </w:t>
            </w:r>
            <w:r>
              <w:rPr>
                <w:rFonts w:ascii="Calibri" w:hAnsi="Calibri" w:cs="Calibri"/>
                <w:color w:val="000000"/>
                <w:sz w:val="18"/>
                <w:szCs w:val="18"/>
              </w:rPr>
              <w:br/>
              <w:t>Total</w:t>
            </w:r>
          </w:p>
        </w:tc>
        <w:tc>
          <w:tcPr>
            <w:tcW w:w="1134" w:type="dxa"/>
            <w:shd w:val="clear" w:color="auto" w:fill="EFFDE7"/>
          </w:tcPr>
          <w:p w14:paraId="5050A8D3" w14:textId="5DF93E87"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Quantitative</w:t>
            </w:r>
            <w:proofErr w:type="spellEnd"/>
          </w:p>
        </w:tc>
        <w:tc>
          <w:tcPr>
            <w:tcW w:w="850" w:type="dxa"/>
            <w:shd w:val="clear" w:color="auto" w:fill="EFFDE7"/>
          </w:tcPr>
          <w:p w14:paraId="416989C8" w14:textId="6D6618FA"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FFDE7"/>
          </w:tcPr>
          <w:p w14:paraId="08D7A36A" w14:textId="251C1FE1"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FFEEDD"/>
          </w:tcPr>
          <w:p w14:paraId="53A4C03F" w14:textId="69158B42"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FTE working at the local cluster MSME partner is the number of jobs supported within the local cluster partner directly supported through the Impact Clusters project. This indicator aims to capture the number of people who can provide for themselves through a decent job in an enterprise supported by Impact Clusters. Only fill out this indicator if the local partner is an MSME.</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This indicator includes full-time equivalent (FTE) jobs. It concerns seasonal, contractual part-time employees and informal employment in the target country. Part-time and informal jobs are converted into full-time equivalent jobs pro-rata. The conversion is based on the local definition of a working week. Seasonal or short-term jobs are prorated based on the part of the reporting period that was worked. For example, a full-time job during the harvest season of 3 months would equal a 0.25 FTE job for the reporting period of one year. If the information is not available, the guideline is 2 part-time jobs equal 1 full-time job.</w:t>
            </w:r>
          </w:p>
        </w:tc>
        <w:tc>
          <w:tcPr>
            <w:tcW w:w="150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FDE7"/>
          </w:tcPr>
          <w:p w14:paraId="72700734"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FFDE7"/>
          </w:tcPr>
          <w:p w14:paraId="4ED13952" w14:textId="77777777" w:rsidR="00860F5D" w:rsidRPr="00E40B30" w:rsidRDefault="00860F5D" w:rsidP="00860F5D">
            <w:pPr>
              <w:spacing w:after="0" w:line="200" w:lineRule="exact"/>
              <w:rPr>
                <w:rFonts w:ascii="Verdana" w:hAnsi="Verdana"/>
                <w:sz w:val="16"/>
                <w:szCs w:val="16"/>
                <w:lang w:val="en-US"/>
              </w:rPr>
            </w:pPr>
          </w:p>
        </w:tc>
      </w:tr>
    </w:tbl>
    <w:p w14:paraId="0CF8C016" w14:textId="77777777" w:rsidR="00825731" w:rsidRPr="00EF684E" w:rsidRDefault="00825731" w:rsidP="00825731">
      <w:pPr>
        <w:rPr>
          <w:lang w:val="en-US"/>
        </w:rPr>
      </w:pPr>
    </w:p>
    <w:sectPr w:rsidR="00825731" w:rsidRPr="00EF684E" w:rsidSect="00B5144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680" w:bottom="680" w:left="680"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504C" w14:textId="77777777" w:rsidR="00612988" w:rsidRDefault="00612988">
      <w:r>
        <w:separator/>
      </w:r>
    </w:p>
    <w:p w14:paraId="749C4581" w14:textId="77777777" w:rsidR="00612988" w:rsidRDefault="00612988"/>
  </w:endnote>
  <w:endnote w:type="continuationSeparator" w:id="0">
    <w:p w14:paraId="28606AC2" w14:textId="77777777" w:rsidR="00612988" w:rsidRDefault="00612988">
      <w:r>
        <w:continuationSeparator/>
      </w:r>
    </w:p>
    <w:p w14:paraId="15EC615B" w14:textId="77777777" w:rsidR="00612988" w:rsidRDefault="0061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1"/>
      <w:tblW w:w="9900" w:type="dxa"/>
      <w:tblLayout w:type="fixed"/>
      <w:tblLook w:val="0020" w:firstRow="1" w:lastRow="0" w:firstColumn="0" w:lastColumn="0" w:noHBand="0" w:noVBand="0"/>
    </w:tblPr>
    <w:tblGrid>
      <w:gridCol w:w="7752"/>
      <w:gridCol w:w="2148"/>
    </w:tblGrid>
    <w:tr w:rsidR="00CB4B81" w14:paraId="1E6B3C28" w14:textId="77777777" w:rsidTr="003A158C">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7187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961680924"/>
          <w:docPartObj>
            <w:docPartGallery w:val="Page Numbers (Top of Page)"/>
            <w:docPartUnique/>
          </w:docPartObj>
        </w:sdtPr>
        <w:sdtEndPr/>
        <w:sdtContent>
          <w:p w14:paraId="024E5FEE" w14:textId="13B6CAF9" w:rsidR="002141DB" w:rsidRPr="002141DB" w:rsidRDefault="00C018D0" w:rsidP="00C018D0">
            <w:pPr>
              <w:pStyle w:val="Voettekst"/>
              <w:rPr>
                <w:rFonts w:ascii="Verdana" w:hAnsi="Verdana"/>
                <w:sz w:val="16"/>
                <w:szCs w:val="16"/>
              </w:rPr>
            </w:pPr>
            <w:r>
              <w:rPr>
                <w:rFonts w:ascii="Verdana" w:hAnsi="Verdana"/>
                <w:sz w:val="16"/>
                <w:szCs w:val="16"/>
              </w:rPr>
              <w:t>Ve</w:t>
            </w:r>
            <w:r w:rsidR="00E40B30">
              <w:rPr>
                <w:rFonts w:ascii="Verdana" w:hAnsi="Verdana"/>
                <w:sz w:val="16"/>
                <w:szCs w:val="16"/>
              </w:rPr>
              <w:t>rsie 02-05-</w:t>
            </w:r>
            <w:r w:rsidR="0013029D">
              <w:rPr>
                <w:rFonts w:ascii="Verdana" w:hAnsi="Verdana"/>
                <w:sz w:val="16"/>
                <w:szCs w:val="16"/>
              </w:rPr>
              <w:t>2024</w:t>
            </w:r>
            <w:r>
              <w:rPr>
                <w:rFonts w:ascii="Verdana" w:hAnsi="Verdana"/>
                <w:sz w:val="16"/>
                <w:szCs w:val="16"/>
              </w:rPr>
              <w:tab/>
            </w:r>
            <w:r w:rsidR="00ED70B0">
              <w:rPr>
                <w:rFonts w:ascii="Verdana" w:hAnsi="Verdana"/>
                <w:sz w:val="16"/>
                <w:szCs w:val="16"/>
              </w:rPr>
              <w:tab/>
            </w:r>
            <w:r w:rsidR="002141DB" w:rsidRPr="002141DB">
              <w:rPr>
                <w:rFonts w:ascii="Verdana" w:hAnsi="Verdana"/>
                <w:sz w:val="16"/>
                <w:szCs w:val="16"/>
              </w:rPr>
              <w:t>Pag</w:t>
            </w:r>
            <w:r w:rsidR="00D61AD5">
              <w:rPr>
                <w:rFonts w:ascii="Verdana" w:hAnsi="Verdana"/>
                <w:sz w:val="16"/>
                <w:szCs w:val="16"/>
              </w:rPr>
              <w:t>ina</w:t>
            </w:r>
            <w:r w:rsidR="002141DB" w:rsidRPr="002141DB">
              <w:rPr>
                <w:rFonts w:ascii="Verdana" w:hAnsi="Verdana"/>
                <w:sz w:val="16"/>
                <w:szCs w:val="16"/>
              </w:rPr>
              <w:t xml:space="preserve"> </w:t>
            </w:r>
            <w:r w:rsidR="002141DB" w:rsidRPr="002141DB">
              <w:rPr>
                <w:rFonts w:ascii="Verdana" w:hAnsi="Verdana"/>
                <w:b/>
                <w:bCs/>
                <w:sz w:val="16"/>
                <w:szCs w:val="16"/>
              </w:rPr>
              <w:fldChar w:fldCharType="begin"/>
            </w:r>
            <w:r w:rsidR="002141DB" w:rsidRPr="002141DB">
              <w:rPr>
                <w:rFonts w:ascii="Verdana" w:hAnsi="Verdana"/>
                <w:b/>
                <w:bCs/>
                <w:sz w:val="16"/>
                <w:szCs w:val="16"/>
              </w:rPr>
              <w:instrText>PAGE</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r w:rsidR="002141DB" w:rsidRPr="002141DB">
              <w:rPr>
                <w:rFonts w:ascii="Verdana" w:hAnsi="Verdana"/>
                <w:sz w:val="16"/>
                <w:szCs w:val="16"/>
              </w:rPr>
              <w:t xml:space="preserve"> </w:t>
            </w:r>
            <w:r w:rsidR="00D61AD5">
              <w:rPr>
                <w:rFonts w:ascii="Verdana" w:hAnsi="Verdana"/>
                <w:sz w:val="16"/>
                <w:szCs w:val="16"/>
              </w:rPr>
              <w:t>van</w:t>
            </w:r>
            <w:r w:rsidR="002141DB" w:rsidRPr="002141DB">
              <w:rPr>
                <w:rFonts w:ascii="Verdana" w:hAnsi="Verdana"/>
                <w:sz w:val="16"/>
                <w:szCs w:val="16"/>
              </w:rPr>
              <w:t xml:space="preserve"> </w:t>
            </w:r>
            <w:r w:rsidR="002141DB" w:rsidRPr="002141DB">
              <w:rPr>
                <w:rFonts w:ascii="Verdana" w:hAnsi="Verdana"/>
                <w:b/>
                <w:bCs/>
                <w:sz w:val="16"/>
                <w:szCs w:val="16"/>
              </w:rPr>
              <w:fldChar w:fldCharType="begin"/>
            </w:r>
            <w:r w:rsidR="002141DB" w:rsidRPr="002141DB">
              <w:rPr>
                <w:rFonts w:ascii="Verdana" w:hAnsi="Verdana"/>
                <w:b/>
                <w:bCs/>
                <w:sz w:val="16"/>
                <w:szCs w:val="16"/>
              </w:rPr>
              <w:instrText>NUMPAGES</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p>
        </w:sdtContent>
      </w:sdt>
    </w:sdtContent>
  </w:sdt>
  <w:p w14:paraId="09ECD6F4" w14:textId="58E52FFB"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76007"/>
      <w:docPartObj>
        <w:docPartGallery w:val="Page Numbers (Bottom of Page)"/>
        <w:docPartUnique/>
      </w:docPartObj>
    </w:sdtPr>
    <w:sdtEndPr/>
    <w:sdtContent>
      <w:sdt>
        <w:sdtPr>
          <w:id w:val="-1769616900"/>
          <w:docPartObj>
            <w:docPartGallery w:val="Page Numbers (Top of Page)"/>
            <w:docPartUnique/>
          </w:docPartObj>
        </w:sdtPr>
        <w:sdtEndPr/>
        <w:sdtContent>
          <w:p w14:paraId="4A0E374D" w14:textId="1F6DE509" w:rsidR="002141DB" w:rsidRDefault="002141D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100682" w14:textId="02FF4377"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977" w14:textId="77777777" w:rsidR="00612988" w:rsidRDefault="00612988">
      <w:r>
        <w:separator/>
      </w:r>
    </w:p>
    <w:p w14:paraId="2F76FAF8" w14:textId="77777777" w:rsidR="00612988" w:rsidRDefault="00612988"/>
  </w:footnote>
  <w:footnote w:type="continuationSeparator" w:id="0">
    <w:p w14:paraId="096E07A3" w14:textId="77777777" w:rsidR="00612988" w:rsidRDefault="00612988">
      <w:r>
        <w:continuationSeparator/>
      </w:r>
    </w:p>
    <w:p w14:paraId="5D27BC07" w14:textId="77777777" w:rsidR="00612988" w:rsidRDefault="00612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2BF01A7F"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200C4586" w:rsidR="00CB4B81" w:rsidRDefault="003A158C">
    <w:pPr>
      <w:pStyle w:val="Koptekst"/>
    </w:pPr>
    <w:r w:rsidRPr="00D247A5">
      <w:rPr>
        <w:noProof/>
      </w:rPr>
      <w:drawing>
        <wp:anchor distT="0" distB="0" distL="114300" distR="114300" simplePos="0" relativeHeight="251661312" behindDoc="1" locked="0" layoutInCell="1" allowOverlap="1" wp14:anchorId="11D3FA0D" wp14:editId="77A31BE5">
          <wp:simplePos x="0" y="0"/>
          <wp:positionH relativeFrom="column">
            <wp:posOffset>2657475</wp:posOffset>
          </wp:positionH>
          <wp:positionV relativeFrom="paragraph">
            <wp:posOffset>-790575</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5379BAEE"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DAF"/>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4005F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C70E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0C0EA1"/>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377163"/>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CE2434"/>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92219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B3F1F"/>
    <w:multiLevelType w:val="hybridMultilevel"/>
    <w:tmpl w:val="FC085A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1708DE"/>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920C56"/>
    <w:multiLevelType w:val="hybridMultilevel"/>
    <w:tmpl w:val="79B0C984"/>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ED2B26"/>
    <w:multiLevelType w:val="hybridMultilevel"/>
    <w:tmpl w:val="7DE8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0859BC"/>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754207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E8A5505"/>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2E61E9"/>
    <w:multiLevelType w:val="hybridMultilevel"/>
    <w:tmpl w:val="FA9CD7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030D45"/>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490537C"/>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5C373B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3D0E64"/>
    <w:multiLevelType w:val="hybridMultilevel"/>
    <w:tmpl w:val="34809F2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C726C1"/>
    <w:multiLevelType w:val="hybridMultilevel"/>
    <w:tmpl w:val="A6A45FBC"/>
    <w:lvl w:ilvl="0" w:tplc="27EAAFD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38118EE"/>
    <w:multiLevelType w:val="multilevel"/>
    <w:tmpl w:val="1368BFF2"/>
    <w:lvl w:ilvl="0">
      <w:start w:val="9"/>
      <w:numFmt w:val="decimal"/>
      <w:lvlText w:val="%1"/>
      <w:lvlJc w:val="left"/>
      <w:pPr>
        <w:ind w:left="2486"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206" w:hanging="1080"/>
      </w:pPr>
      <w:rPr>
        <w:rFonts w:hint="default"/>
      </w:rPr>
    </w:lvl>
    <w:lvl w:ilvl="4">
      <w:start w:val="1"/>
      <w:numFmt w:val="decimal"/>
      <w:lvlText w:val="%1.%2.%3.%4.%5"/>
      <w:lvlJc w:val="left"/>
      <w:pPr>
        <w:ind w:left="3206" w:hanging="1080"/>
      </w:pPr>
      <w:rPr>
        <w:rFonts w:hint="default"/>
      </w:rPr>
    </w:lvl>
    <w:lvl w:ilvl="5">
      <w:start w:val="1"/>
      <w:numFmt w:val="decimal"/>
      <w:lvlText w:val="%1.%2.%3.%4.%5.%6"/>
      <w:lvlJc w:val="left"/>
      <w:pPr>
        <w:ind w:left="3566" w:hanging="1440"/>
      </w:pPr>
      <w:rPr>
        <w:rFonts w:hint="default"/>
      </w:rPr>
    </w:lvl>
    <w:lvl w:ilvl="6">
      <w:start w:val="1"/>
      <w:numFmt w:val="decimal"/>
      <w:lvlText w:val="%1.%2.%3.%4.%5.%6.%7"/>
      <w:lvlJc w:val="left"/>
      <w:pPr>
        <w:ind w:left="3566" w:hanging="1440"/>
      </w:pPr>
      <w:rPr>
        <w:rFonts w:hint="default"/>
      </w:rPr>
    </w:lvl>
    <w:lvl w:ilvl="7">
      <w:start w:val="1"/>
      <w:numFmt w:val="decimal"/>
      <w:lvlText w:val="%1.%2.%3.%4.%5.%6.%7.%8"/>
      <w:lvlJc w:val="left"/>
      <w:pPr>
        <w:ind w:left="3926" w:hanging="1800"/>
      </w:pPr>
      <w:rPr>
        <w:rFonts w:hint="default"/>
      </w:rPr>
    </w:lvl>
    <w:lvl w:ilvl="8">
      <w:start w:val="1"/>
      <w:numFmt w:val="decimal"/>
      <w:lvlText w:val="%1.%2.%3.%4.%5.%6.%7.%8.%9"/>
      <w:lvlJc w:val="left"/>
      <w:pPr>
        <w:ind w:left="4286" w:hanging="2160"/>
      </w:pPr>
      <w:rPr>
        <w:rFonts w:hint="default"/>
      </w:rPr>
    </w:lvl>
  </w:abstractNum>
  <w:abstractNum w:abstractNumId="23" w15:restartNumberingAfterBreak="0">
    <w:nsid w:val="6CC5145B"/>
    <w:multiLevelType w:val="hybridMultilevel"/>
    <w:tmpl w:val="E0560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B86531"/>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42C1965"/>
    <w:multiLevelType w:val="hybridMultilevel"/>
    <w:tmpl w:val="A13E6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483143F"/>
    <w:multiLevelType w:val="hybridMultilevel"/>
    <w:tmpl w:val="FFBA414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670DE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7FD7EB6"/>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8F04FBA"/>
    <w:multiLevelType w:val="multilevel"/>
    <w:tmpl w:val="AAB0BD9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EF6A39"/>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59162303">
    <w:abstractNumId w:val="2"/>
  </w:num>
  <w:num w:numId="2" w16cid:durableId="2113356304">
    <w:abstractNumId w:val="8"/>
  </w:num>
  <w:num w:numId="3" w16cid:durableId="721641391">
    <w:abstractNumId w:val="0"/>
  </w:num>
  <w:num w:numId="4" w16cid:durableId="1564753289">
    <w:abstractNumId w:val="16"/>
  </w:num>
  <w:num w:numId="5" w16cid:durableId="321861076">
    <w:abstractNumId w:val="9"/>
  </w:num>
  <w:num w:numId="6" w16cid:durableId="1010764983">
    <w:abstractNumId w:val="7"/>
  </w:num>
  <w:num w:numId="7" w16cid:durableId="1537697023">
    <w:abstractNumId w:val="28"/>
  </w:num>
  <w:num w:numId="8" w16cid:durableId="1545173302">
    <w:abstractNumId w:val="10"/>
  </w:num>
  <w:num w:numId="9" w16cid:durableId="673847019">
    <w:abstractNumId w:val="25"/>
  </w:num>
  <w:num w:numId="10" w16cid:durableId="1818648595">
    <w:abstractNumId w:val="30"/>
  </w:num>
  <w:num w:numId="11" w16cid:durableId="1896702255">
    <w:abstractNumId w:val="18"/>
  </w:num>
  <w:num w:numId="12" w16cid:durableId="1994792262">
    <w:abstractNumId w:val="15"/>
  </w:num>
  <w:num w:numId="13" w16cid:durableId="182091500">
    <w:abstractNumId w:val="19"/>
  </w:num>
  <w:num w:numId="14" w16cid:durableId="565722950">
    <w:abstractNumId w:val="6"/>
  </w:num>
  <w:num w:numId="15" w16cid:durableId="919683165">
    <w:abstractNumId w:val="5"/>
  </w:num>
  <w:num w:numId="16" w16cid:durableId="523203784">
    <w:abstractNumId w:val="3"/>
  </w:num>
  <w:num w:numId="17" w16cid:durableId="872613942">
    <w:abstractNumId w:val="17"/>
  </w:num>
  <w:num w:numId="18" w16cid:durableId="34545619">
    <w:abstractNumId w:val="1"/>
  </w:num>
  <w:num w:numId="19" w16cid:durableId="1962224987">
    <w:abstractNumId w:val="4"/>
  </w:num>
  <w:num w:numId="20" w16cid:durableId="891119884">
    <w:abstractNumId w:val="11"/>
  </w:num>
  <w:num w:numId="21" w16cid:durableId="541524440">
    <w:abstractNumId w:val="26"/>
  </w:num>
  <w:num w:numId="22" w16cid:durableId="1415469753">
    <w:abstractNumId w:val="24"/>
  </w:num>
  <w:num w:numId="23" w16cid:durableId="20858575">
    <w:abstractNumId w:val="20"/>
  </w:num>
  <w:num w:numId="24" w16cid:durableId="2043048350">
    <w:abstractNumId w:val="27"/>
  </w:num>
  <w:num w:numId="25" w16cid:durableId="1473911773">
    <w:abstractNumId w:val="13"/>
  </w:num>
  <w:num w:numId="26" w16cid:durableId="547029206">
    <w:abstractNumId w:val="29"/>
  </w:num>
  <w:num w:numId="27" w16cid:durableId="261649004">
    <w:abstractNumId w:val="22"/>
  </w:num>
  <w:num w:numId="28" w16cid:durableId="774833947">
    <w:abstractNumId w:val="14"/>
  </w:num>
  <w:num w:numId="29" w16cid:durableId="1213466436">
    <w:abstractNumId w:val="23"/>
  </w:num>
  <w:num w:numId="30" w16cid:durableId="1804693839">
    <w:abstractNumId w:val="21"/>
  </w:num>
  <w:num w:numId="31" w16cid:durableId="166338519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27"/>
  <w:hyphenationZone w:val="425"/>
  <w:characterSpacingControl w:val="doNotCompress"/>
  <w:hdrShapeDefaults>
    <o:shapedefaults v:ext="edit" spidmax="1003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3B"/>
    <w:rsid w:val="00001443"/>
    <w:rsid w:val="00016E11"/>
    <w:rsid w:val="00023804"/>
    <w:rsid w:val="00024907"/>
    <w:rsid w:val="000276CF"/>
    <w:rsid w:val="00027F0A"/>
    <w:rsid w:val="000339A2"/>
    <w:rsid w:val="00046599"/>
    <w:rsid w:val="0005049E"/>
    <w:rsid w:val="00080C00"/>
    <w:rsid w:val="000A71C7"/>
    <w:rsid w:val="000C299A"/>
    <w:rsid w:val="000C4E6E"/>
    <w:rsid w:val="000F3941"/>
    <w:rsid w:val="000F6468"/>
    <w:rsid w:val="000F79D5"/>
    <w:rsid w:val="00115979"/>
    <w:rsid w:val="001171CC"/>
    <w:rsid w:val="00120918"/>
    <w:rsid w:val="0013029D"/>
    <w:rsid w:val="001376A1"/>
    <w:rsid w:val="001505D0"/>
    <w:rsid w:val="001656E9"/>
    <w:rsid w:val="001775E0"/>
    <w:rsid w:val="00191C0F"/>
    <w:rsid w:val="001B4006"/>
    <w:rsid w:val="001B633E"/>
    <w:rsid w:val="001D01A9"/>
    <w:rsid w:val="001D6322"/>
    <w:rsid w:val="001D651E"/>
    <w:rsid w:val="002079E3"/>
    <w:rsid w:val="002141DB"/>
    <w:rsid w:val="00232478"/>
    <w:rsid w:val="00233298"/>
    <w:rsid w:val="002525BC"/>
    <w:rsid w:val="00265ECE"/>
    <w:rsid w:val="00281C78"/>
    <w:rsid w:val="00295460"/>
    <w:rsid w:val="002C4309"/>
    <w:rsid w:val="002C4A70"/>
    <w:rsid w:val="002D1C52"/>
    <w:rsid w:val="002D2DAC"/>
    <w:rsid w:val="002E3E5B"/>
    <w:rsid w:val="002E672E"/>
    <w:rsid w:val="002E789E"/>
    <w:rsid w:val="002F2F1C"/>
    <w:rsid w:val="00300F10"/>
    <w:rsid w:val="003073A2"/>
    <w:rsid w:val="0032146D"/>
    <w:rsid w:val="0033285B"/>
    <w:rsid w:val="0033736B"/>
    <w:rsid w:val="00343684"/>
    <w:rsid w:val="0038021B"/>
    <w:rsid w:val="003916E0"/>
    <w:rsid w:val="00393356"/>
    <w:rsid w:val="003A158C"/>
    <w:rsid w:val="003B532C"/>
    <w:rsid w:val="003B5470"/>
    <w:rsid w:val="003C1341"/>
    <w:rsid w:val="003D50BE"/>
    <w:rsid w:val="003E3FB9"/>
    <w:rsid w:val="003F1694"/>
    <w:rsid w:val="004071CC"/>
    <w:rsid w:val="00427195"/>
    <w:rsid w:val="004638DA"/>
    <w:rsid w:val="00471914"/>
    <w:rsid w:val="004722DF"/>
    <w:rsid w:val="00474284"/>
    <w:rsid w:val="00475AB5"/>
    <w:rsid w:val="004803EE"/>
    <w:rsid w:val="004D53F3"/>
    <w:rsid w:val="004E4428"/>
    <w:rsid w:val="00546FD5"/>
    <w:rsid w:val="00576935"/>
    <w:rsid w:val="00593914"/>
    <w:rsid w:val="005B3FAF"/>
    <w:rsid w:val="005D1CC1"/>
    <w:rsid w:val="005D2FF2"/>
    <w:rsid w:val="005D74BA"/>
    <w:rsid w:val="005E732B"/>
    <w:rsid w:val="00612988"/>
    <w:rsid w:val="006263F7"/>
    <w:rsid w:val="00627255"/>
    <w:rsid w:val="00640B43"/>
    <w:rsid w:val="00643686"/>
    <w:rsid w:val="00663293"/>
    <w:rsid w:val="00666427"/>
    <w:rsid w:val="006A1468"/>
    <w:rsid w:val="006B64C8"/>
    <w:rsid w:val="006C04BD"/>
    <w:rsid w:val="006C192E"/>
    <w:rsid w:val="006C4FE5"/>
    <w:rsid w:val="006D2FD7"/>
    <w:rsid w:val="006E0966"/>
    <w:rsid w:val="00725AB0"/>
    <w:rsid w:val="00763502"/>
    <w:rsid w:val="0077106C"/>
    <w:rsid w:val="007710F0"/>
    <w:rsid w:val="007723B9"/>
    <w:rsid w:val="007772AC"/>
    <w:rsid w:val="007C0633"/>
    <w:rsid w:val="007E3D80"/>
    <w:rsid w:val="007E5988"/>
    <w:rsid w:val="007E759C"/>
    <w:rsid w:val="007F45BD"/>
    <w:rsid w:val="00805A4F"/>
    <w:rsid w:val="00817E2C"/>
    <w:rsid w:val="00825731"/>
    <w:rsid w:val="00834E6A"/>
    <w:rsid w:val="00840198"/>
    <w:rsid w:val="00852A4B"/>
    <w:rsid w:val="00860F5D"/>
    <w:rsid w:val="00870CDC"/>
    <w:rsid w:val="0087235B"/>
    <w:rsid w:val="008804B3"/>
    <w:rsid w:val="0088142D"/>
    <w:rsid w:val="008944F6"/>
    <w:rsid w:val="0089706A"/>
    <w:rsid w:val="008C17F6"/>
    <w:rsid w:val="008E4F2F"/>
    <w:rsid w:val="008F0D44"/>
    <w:rsid w:val="00923C4B"/>
    <w:rsid w:val="009578A6"/>
    <w:rsid w:val="009803CD"/>
    <w:rsid w:val="009862CF"/>
    <w:rsid w:val="009948DE"/>
    <w:rsid w:val="009A69D3"/>
    <w:rsid w:val="009B1CB8"/>
    <w:rsid w:val="009C3BA2"/>
    <w:rsid w:val="009C7CA2"/>
    <w:rsid w:val="009F0EAC"/>
    <w:rsid w:val="00A21572"/>
    <w:rsid w:val="00A35748"/>
    <w:rsid w:val="00A6193C"/>
    <w:rsid w:val="00A63D3F"/>
    <w:rsid w:val="00A713E5"/>
    <w:rsid w:val="00AB6939"/>
    <w:rsid w:val="00AC5509"/>
    <w:rsid w:val="00AC7BEE"/>
    <w:rsid w:val="00AE040E"/>
    <w:rsid w:val="00AE0B0C"/>
    <w:rsid w:val="00AE7F1D"/>
    <w:rsid w:val="00AF256D"/>
    <w:rsid w:val="00AF36D6"/>
    <w:rsid w:val="00B12AB9"/>
    <w:rsid w:val="00B14DA5"/>
    <w:rsid w:val="00B215B1"/>
    <w:rsid w:val="00B455E5"/>
    <w:rsid w:val="00B5119F"/>
    <w:rsid w:val="00B5144A"/>
    <w:rsid w:val="00B6142D"/>
    <w:rsid w:val="00B81CA4"/>
    <w:rsid w:val="00B90F1D"/>
    <w:rsid w:val="00B910D6"/>
    <w:rsid w:val="00BB6B13"/>
    <w:rsid w:val="00BB7BB8"/>
    <w:rsid w:val="00BC2DE5"/>
    <w:rsid w:val="00BC5816"/>
    <w:rsid w:val="00BE1257"/>
    <w:rsid w:val="00C018D0"/>
    <w:rsid w:val="00C05E66"/>
    <w:rsid w:val="00C06F2A"/>
    <w:rsid w:val="00C143FC"/>
    <w:rsid w:val="00C22DC3"/>
    <w:rsid w:val="00C251BD"/>
    <w:rsid w:val="00C3796D"/>
    <w:rsid w:val="00C478FB"/>
    <w:rsid w:val="00C56B43"/>
    <w:rsid w:val="00C764F4"/>
    <w:rsid w:val="00C91ADD"/>
    <w:rsid w:val="00CA4F15"/>
    <w:rsid w:val="00CB0D74"/>
    <w:rsid w:val="00CB438A"/>
    <w:rsid w:val="00CB4B81"/>
    <w:rsid w:val="00CB554A"/>
    <w:rsid w:val="00CC3864"/>
    <w:rsid w:val="00CD7FAE"/>
    <w:rsid w:val="00D045E6"/>
    <w:rsid w:val="00D100E8"/>
    <w:rsid w:val="00D166EF"/>
    <w:rsid w:val="00D20EF1"/>
    <w:rsid w:val="00D310C4"/>
    <w:rsid w:val="00D337FE"/>
    <w:rsid w:val="00D36C1E"/>
    <w:rsid w:val="00D47EE6"/>
    <w:rsid w:val="00D61AD5"/>
    <w:rsid w:val="00D73155"/>
    <w:rsid w:val="00D94E94"/>
    <w:rsid w:val="00DA09E5"/>
    <w:rsid w:val="00DA4025"/>
    <w:rsid w:val="00DB7F5B"/>
    <w:rsid w:val="00DD5415"/>
    <w:rsid w:val="00DF1748"/>
    <w:rsid w:val="00E02AEA"/>
    <w:rsid w:val="00E11334"/>
    <w:rsid w:val="00E178D8"/>
    <w:rsid w:val="00E40B30"/>
    <w:rsid w:val="00E517AE"/>
    <w:rsid w:val="00E51A24"/>
    <w:rsid w:val="00E523BE"/>
    <w:rsid w:val="00E55176"/>
    <w:rsid w:val="00E635F1"/>
    <w:rsid w:val="00E654F8"/>
    <w:rsid w:val="00E70133"/>
    <w:rsid w:val="00E72BD0"/>
    <w:rsid w:val="00E84EDE"/>
    <w:rsid w:val="00EA5E3B"/>
    <w:rsid w:val="00EB268E"/>
    <w:rsid w:val="00EB688D"/>
    <w:rsid w:val="00EC0AFB"/>
    <w:rsid w:val="00ED6E9E"/>
    <w:rsid w:val="00ED70B0"/>
    <w:rsid w:val="00EE06F6"/>
    <w:rsid w:val="00EF0E34"/>
    <w:rsid w:val="00EF11C8"/>
    <w:rsid w:val="00EF2CA4"/>
    <w:rsid w:val="00EF684E"/>
    <w:rsid w:val="00F05838"/>
    <w:rsid w:val="00F146F0"/>
    <w:rsid w:val="00F14C9B"/>
    <w:rsid w:val="00F34A2B"/>
    <w:rsid w:val="00F46855"/>
    <w:rsid w:val="00F51023"/>
    <w:rsid w:val="00F60F4E"/>
    <w:rsid w:val="00F85A3D"/>
    <w:rsid w:val="00F91FEF"/>
    <w:rsid w:val="00FE2F50"/>
    <w:rsid w:val="00FF130C"/>
    <w:rsid w:val="00FF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f" fillcolor="white" stroke="f">
      <v:fill color="white" on="f"/>
      <v:stroke on="f"/>
    </o:shapedefaults>
    <o:shapelayout v:ext="edit">
      <o:idmap v:ext="edit" data="1"/>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1341"/>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semiHidden/>
    <w:unhideWhenUsed/>
    <w:rsid w:val="00EF2CA4"/>
    <w:pPr>
      <w:spacing w:line="240" w:lineRule="auto"/>
    </w:pPr>
    <w:rPr>
      <w:sz w:val="20"/>
      <w:szCs w:val="20"/>
    </w:rPr>
  </w:style>
  <w:style w:type="character" w:customStyle="1" w:styleId="TekstopmerkingChar">
    <w:name w:val="Tekst opmerking Char"/>
    <w:basedOn w:val="Standaardalinea-lettertype"/>
    <w:link w:val="Tekstopmerking"/>
    <w:semiHidden/>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1">
    <w:name w:val="Plain Table 1"/>
    <w:basedOn w:val="Standaardtabel"/>
    <w:uiPriority w:val="41"/>
    <w:rsid w:val="003A15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A15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oettekstChar">
    <w:name w:val="Voettekst Char"/>
    <w:basedOn w:val="Standaardalinea-lettertype"/>
    <w:link w:val="Voettekst"/>
    <w:uiPriority w:val="99"/>
    <w:rsid w:val="003A158C"/>
    <w:rPr>
      <w:rFonts w:asciiTheme="minorHAnsi" w:eastAsiaTheme="minorHAnsi" w:hAnsiTheme="minorHAnsi" w:cstheme="minorBidi"/>
      <w:sz w:val="22"/>
      <w:szCs w:val="22"/>
      <w:lang w:eastAsia="en-US"/>
    </w:rPr>
  </w:style>
  <w:style w:type="paragraph" w:customStyle="1" w:styleId="Documentvoetnoot">
    <w:name w:val="Documentvoetnoot"/>
    <w:basedOn w:val="Standaard"/>
    <w:link w:val="DocumentvoetnootChar"/>
    <w:rsid w:val="00281C78"/>
    <w:pPr>
      <w:spacing w:before="60" w:after="0" w:line="400" w:lineRule="atLeast"/>
    </w:pPr>
    <w:rPr>
      <w:rFonts w:ascii="Verdana" w:eastAsia="Times New Roman" w:hAnsi="Verdana" w:cs="Times New Roman"/>
      <w:b/>
      <w:sz w:val="14"/>
      <w:szCs w:val="24"/>
      <w:lang w:eastAsia="nl-NL"/>
    </w:rPr>
  </w:style>
  <w:style w:type="character" w:customStyle="1" w:styleId="DocumentvoetnootChar">
    <w:name w:val="Documentvoetnoot Char"/>
    <w:link w:val="Documentvoetnoot"/>
    <w:rsid w:val="00281C78"/>
    <w:rPr>
      <w:rFonts w:ascii="Verdana" w:hAnsi="Verdana"/>
      <w:b/>
      <w:sz w:val="14"/>
      <w:szCs w:val="24"/>
    </w:rPr>
  </w:style>
  <w:style w:type="table" w:styleId="Tabelrasterlicht">
    <w:name w:val="Grid Table Light"/>
    <w:basedOn w:val="Standaardtabel"/>
    <w:uiPriority w:val="40"/>
    <w:rsid w:val="001656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semiHidden/>
    <w:unhideWhenUsed/>
    <w:rsid w:val="001775E0"/>
    <w:rPr>
      <w:color w:val="800080" w:themeColor="followedHyperlink"/>
      <w:u w:val="single"/>
    </w:rPr>
  </w:style>
  <w:style w:type="character" w:customStyle="1" w:styleId="LijstalineaChar">
    <w:name w:val="Lijstalinea Char"/>
    <w:basedOn w:val="Standaardalinea-lettertype"/>
    <w:link w:val="Lijstalinea"/>
    <w:uiPriority w:val="34"/>
    <w:rsid w:val="0077106C"/>
    <w:rPr>
      <w:rFonts w:asciiTheme="minorHAnsi" w:eastAsiaTheme="minorHAnsi" w:hAnsiTheme="minorHAnsi" w:cstheme="minorBidi"/>
      <w:sz w:val="22"/>
      <w:szCs w:val="22"/>
      <w:lang w:eastAsia="en-US"/>
    </w:rPr>
  </w:style>
  <w:style w:type="paragraph" w:styleId="Geenafstand">
    <w:name w:val="No Spacing"/>
    <w:basedOn w:val="Standaard"/>
    <w:link w:val="GeenafstandChar"/>
    <w:uiPriority w:val="1"/>
    <w:qFormat/>
    <w:rsid w:val="0077106C"/>
    <w:pPr>
      <w:spacing w:after="0" w:line="240" w:lineRule="auto"/>
    </w:pPr>
    <w:rPr>
      <w:rFonts w:ascii="Verdana" w:eastAsia="Times New Roman" w:hAnsi="Verdana" w:cs="Times New Roman"/>
      <w:sz w:val="18"/>
      <w:szCs w:val="24"/>
      <w:lang w:eastAsia="nl-NL"/>
    </w:rPr>
  </w:style>
  <w:style w:type="character" w:customStyle="1" w:styleId="GeenafstandChar">
    <w:name w:val="Geen afstand Char"/>
    <w:basedOn w:val="Standaardalinea-lettertype"/>
    <w:link w:val="Geenafstand"/>
    <w:uiPriority w:val="1"/>
    <w:rsid w:val="0077106C"/>
    <w:rPr>
      <w:rFonts w:ascii="Verdana" w:hAnsi="Verdana"/>
      <w:sz w:val="18"/>
      <w:szCs w:val="24"/>
    </w:rPr>
  </w:style>
  <w:style w:type="character" w:customStyle="1" w:styleId="KoptekstChar">
    <w:name w:val="Koptekst Char"/>
    <w:link w:val="Koptekst"/>
    <w:rsid w:val="00AC5509"/>
    <w:rPr>
      <w:rFonts w:asciiTheme="minorHAnsi" w:eastAsiaTheme="minorHAnsi" w:hAnsiTheme="minorHAnsi" w:cstheme="minorBidi"/>
      <w:sz w:val="22"/>
      <w:szCs w:val="22"/>
      <w:lang w:eastAsia="en-US"/>
    </w:rPr>
  </w:style>
  <w:style w:type="paragraph" w:customStyle="1" w:styleId="Default">
    <w:name w:val="Default"/>
    <w:rsid w:val="002E789E"/>
    <w:pPr>
      <w:autoSpaceDE w:val="0"/>
      <w:autoSpaceDN w:val="0"/>
      <w:adjustRightInd w:val="0"/>
    </w:pPr>
    <w:rPr>
      <w:rFonts w:ascii="Verdana" w:hAnsi="Verdana" w:cs="Verdana"/>
      <w:color w:val="000000"/>
      <w:sz w:val="24"/>
      <w:szCs w:val="24"/>
    </w:rPr>
  </w:style>
  <w:style w:type="paragraph" w:customStyle="1" w:styleId="KOP20">
    <w:name w:val="KOP 2"/>
    <w:basedOn w:val="Standaard"/>
    <w:qFormat/>
    <w:rsid w:val="00ED6E9E"/>
    <w:pPr>
      <w:tabs>
        <w:tab w:val="left" w:pos="1134"/>
        <w:tab w:val="left" w:pos="2268"/>
        <w:tab w:val="left" w:pos="2552"/>
        <w:tab w:val="left" w:pos="2835"/>
        <w:tab w:val="left" w:pos="5670"/>
        <w:tab w:val="left" w:pos="6804"/>
        <w:tab w:val="left" w:pos="7371"/>
        <w:tab w:val="left" w:pos="7938"/>
        <w:tab w:val="left" w:pos="8222"/>
        <w:tab w:val="left" w:pos="8392"/>
      </w:tabs>
      <w:spacing w:after="0" w:line="240" w:lineRule="atLeast"/>
    </w:pPr>
    <w:rPr>
      <w:rFonts w:ascii="Verdana" w:eastAsia="Times New Roman" w:hAnsi="Verdana" w:cs="Tahoma"/>
      <w:b/>
      <w:sz w:val="18"/>
      <w:szCs w:val="23"/>
      <w:lang w:eastAsia="nl-NL"/>
    </w:rPr>
  </w:style>
  <w:style w:type="paragraph" w:customStyle="1" w:styleId="CBIkop1">
    <w:name w:val="CBI kop 1"/>
    <w:basedOn w:val="Standaard"/>
    <w:qFormat/>
    <w:rsid w:val="002F2F1C"/>
    <w:pPr>
      <w:spacing w:after="60" w:line="240" w:lineRule="auto"/>
    </w:pPr>
    <w:rPr>
      <w:rFonts w:ascii="RijksoverheidSansHeadingTT" w:hAnsi="RijksoverheidSansHeadingTT"/>
      <w:b/>
      <w:color w:val="FFB612"/>
      <w:sz w:val="48"/>
      <w:szCs w:val="48"/>
      <w:lang w:val="en-GB"/>
    </w:rPr>
  </w:style>
  <w:style w:type="paragraph" w:customStyle="1" w:styleId="PLATTETEKST">
    <w:name w:val="PLATTE TEKST"/>
    <w:basedOn w:val="Standaard"/>
    <w:qFormat/>
    <w:rsid w:val="002F2F1C"/>
    <w:pPr>
      <w:spacing w:after="0" w:line="240" w:lineRule="atLeast"/>
    </w:pPr>
    <w:rPr>
      <w:rFonts w:ascii="Verdana" w:eastAsia="Times New Roman" w:hAnsi="Verdana" w:cs="Times New Roman"/>
      <w:sz w:val="18"/>
      <w:szCs w:val="24"/>
      <w:lang w:eastAsia="nl-NL"/>
    </w:rPr>
  </w:style>
  <w:style w:type="paragraph" w:styleId="Revisie">
    <w:name w:val="Revision"/>
    <w:hidden/>
    <w:uiPriority w:val="99"/>
    <w:semiHidden/>
    <w:rsid w:val="00923C4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361F-BDAF-4692-9B3A-C8F05CBC874E}">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1</TotalTime>
  <Pages>3</Pages>
  <Words>1344</Words>
  <Characters>7859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Impact Clusters Indicators (update April 2024)</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Clusters Indicators (update April 2024)</dc:title>
  <dc:creator>Rijksdienst voor Ondernemend Nederland</dc:creator>
  <cp:lastModifiedBy>Larosch, N. (Natalie)</cp:lastModifiedBy>
  <cp:revision>3</cp:revision>
  <cp:lastPrinted>2009-05-11T11:10:00Z</cp:lastPrinted>
  <dcterms:created xsi:type="dcterms:W3CDTF">2024-05-31T10:10:00Z</dcterms:created>
  <dcterms:modified xsi:type="dcterms:W3CDTF">2024-05-31T10:24:00Z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