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E675B" w14:textId="77777777" w:rsidR="001316C6" w:rsidRDefault="001316C6" w:rsidP="001316C6">
      <w:pPr>
        <w:spacing w:after="0"/>
        <w:jc w:val="center"/>
        <w:rPr>
          <w:b/>
          <w:bCs/>
          <w:sz w:val="24"/>
          <w:szCs w:val="24"/>
        </w:rPr>
      </w:pPr>
      <w:r w:rsidRPr="006E16FC">
        <w:rPr>
          <w:b/>
          <w:bCs/>
          <w:noProof/>
          <w:sz w:val="24"/>
          <w:szCs w:val="24"/>
        </w:rPr>
        <w:drawing>
          <wp:inline distT="0" distB="0" distL="0" distR="0" wp14:anchorId="4E703440" wp14:editId="232BC556">
            <wp:extent cx="3092123" cy="2499668"/>
            <wp:effectExtent l="0" t="0" r="0" b="0"/>
            <wp:docPr id="415747799" name="Afbeelding 1" descr="Afbeelding met tekst, Lettertype, ontwerp,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47799" name="Afbeelding 1" descr="Afbeelding met tekst, Lettertype, ontwerp, logo&#10;&#10;Door AI gegenereerde inhoud is mogelijk onjuist."/>
                    <pic:cNvPicPr/>
                  </pic:nvPicPr>
                  <pic:blipFill>
                    <a:blip r:embed="rId7">
                      <a:extLst>
                        <a:ext uri="{BEBA8EAE-BF5A-486C-A8C5-ECC9F3942E4B}">
                          <a14:imgProps xmlns:a14="http://schemas.microsoft.com/office/drawing/2010/main">
                            <a14:imgLayer r:embed="rId8">
                              <a14:imgEffect>
                                <a14:sharpenSoften amount="58000"/>
                              </a14:imgEffect>
                            </a14:imgLayer>
                          </a14:imgProps>
                        </a:ext>
                      </a:extLst>
                    </a:blip>
                    <a:stretch>
                      <a:fillRect/>
                    </a:stretch>
                  </pic:blipFill>
                  <pic:spPr>
                    <a:xfrm>
                      <a:off x="0" y="0"/>
                      <a:ext cx="3105333" cy="2510347"/>
                    </a:xfrm>
                    <a:prstGeom prst="rect">
                      <a:avLst/>
                    </a:prstGeom>
                  </pic:spPr>
                </pic:pic>
              </a:graphicData>
            </a:graphic>
          </wp:inline>
        </w:drawing>
      </w:r>
    </w:p>
    <w:p w14:paraId="3ADFF024" w14:textId="77777777" w:rsidR="001316C6" w:rsidRDefault="001316C6" w:rsidP="001316C6">
      <w:pPr>
        <w:spacing w:after="0"/>
        <w:jc w:val="center"/>
        <w:rPr>
          <w:b/>
          <w:bCs/>
          <w:sz w:val="24"/>
          <w:szCs w:val="24"/>
        </w:rPr>
      </w:pPr>
    </w:p>
    <w:p w14:paraId="3C0C6600" w14:textId="77777777" w:rsidR="001316C6" w:rsidRDefault="001316C6" w:rsidP="001316C6">
      <w:pPr>
        <w:spacing w:after="0"/>
        <w:jc w:val="center"/>
        <w:rPr>
          <w:b/>
          <w:bCs/>
          <w:sz w:val="24"/>
          <w:szCs w:val="24"/>
        </w:rPr>
      </w:pPr>
    </w:p>
    <w:p w14:paraId="42B1EE6F" w14:textId="77777777" w:rsidR="001316C6" w:rsidRPr="00FC0FC1" w:rsidRDefault="001316C6" w:rsidP="001316C6">
      <w:pPr>
        <w:spacing w:after="0"/>
        <w:jc w:val="center"/>
        <w:rPr>
          <w:b/>
          <w:bCs/>
          <w:color w:val="740016"/>
          <w:sz w:val="36"/>
          <w:szCs w:val="36"/>
        </w:rPr>
      </w:pPr>
      <w:r w:rsidRPr="00FC0FC1">
        <w:rPr>
          <w:b/>
          <w:bCs/>
          <w:color w:val="740016"/>
          <w:sz w:val="36"/>
          <w:szCs w:val="36"/>
        </w:rPr>
        <w:t>Humanitarian Preparation and Response Program (HUPREP)</w:t>
      </w:r>
    </w:p>
    <w:p w14:paraId="7EF98DD9" w14:textId="258043EE" w:rsidR="00B17105" w:rsidRPr="00B17105" w:rsidRDefault="00B17105" w:rsidP="001316C6">
      <w:pPr>
        <w:spacing w:after="0"/>
        <w:jc w:val="center"/>
        <w:rPr>
          <w:i/>
          <w:iCs/>
          <w:sz w:val="28"/>
          <w:szCs w:val="28"/>
        </w:rPr>
      </w:pPr>
      <w:r w:rsidRPr="00B17105">
        <w:rPr>
          <w:i/>
          <w:iCs/>
          <w:sz w:val="28"/>
          <w:szCs w:val="28"/>
        </w:rPr>
        <w:t>for Professionals Working in or with the Humanitarian Sector</w:t>
      </w:r>
    </w:p>
    <w:p w14:paraId="204AB610" w14:textId="77777777" w:rsidR="001316C6" w:rsidRDefault="001316C6" w:rsidP="001316C6">
      <w:pPr>
        <w:spacing w:after="0"/>
        <w:jc w:val="center"/>
        <w:rPr>
          <w:i/>
          <w:iCs/>
          <w:sz w:val="28"/>
          <w:szCs w:val="28"/>
        </w:rPr>
      </w:pPr>
    </w:p>
    <w:p w14:paraId="6D374CA4" w14:textId="77777777" w:rsidR="001316C6" w:rsidRDefault="001316C6" w:rsidP="001316C6">
      <w:pPr>
        <w:spacing w:after="0"/>
        <w:rPr>
          <w:i/>
          <w:iCs/>
          <w:sz w:val="28"/>
          <w:szCs w:val="28"/>
        </w:rPr>
      </w:pPr>
    </w:p>
    <w:p w14:paraId="7D841EB1" w14:textId="77777777" w:rsidR="001316C6" w:rsidRDefault="001316C6" w:rsidP="001316C6">
      <w:pPr>
        <w:spacing w:after="0"/>
        <w:rPr>
          <w:i/>
          <w:iCs/>
          <w:sz w:val="28"/>
          <w:szCs w:val="28"/>
        </w:rPr>
      </w:pPr>
    </w:p>
    <w:p w14:paraId="509A7AE3" w14:textId="77777777" w:rsidR="001316C6" w:rsidRPr="009F70F0" w:rsidRDefault="001316C6" w:rsidP="001316C6">
      <w:pPr>
        <w:spacing w:line="276" w:lineRule="auto"/>
        <w:jc w:val="center"/>
        <w:rPr>
          <w:rFonts w:ascii="Calibri" w:eastAsia="Calibri" w:hAnsi="Calibri" w:cs="Calibri"/>
          <w:bCs/>
          <w:sz w:val="24"/>
          <w:szCs w:val="24"/>
        </w:rPr>
      </w:pPr>
      <w:r w:rsidRPr="009F70F0">
        <w:rPr>
          <w:rFonts w:ascii="Calibri" w:eastAsia="Calibri" w:hAnsi="Calibri" w:cs="Calibri"/>
          <w:bCs/>
          <w:sz w:val="24"/>
          <w:szCs w:val="24"/>
        </w:rPr>
        <w:t xml:space="preserve">The Hague, </w:t>
      </w:r>
      <w:r>
        <w:rPr>
          <w:rFonts w:ascii="Calibri" w:eastAsia="Calibri" w:hAnsi="Calibri" w:cs="Calibri"/>
          <w:bCs/>
          <w:sz w:val="24"/>
          <w:szCs w:val="24"/>
        </w:rPr>
        <w:t>December 17 - December 18</w:t>
      </w:r>
    </w:p>
    <w:p w14:paraId="516949C7" w14:textId="77777777" w:rsidR="001316C6" w:rsidRDefault="001316C6" w:rsidP="001316C6">
      <w:pPr>
        <w:spacing w:line="276" w:lineRule="auto"/>
        <w:jc w:val="center"/>
        <w:rPr>
          <w:rFonts w:ascii="Calibri" w:eastAsia="Calibri" w:hAnsi="Calibri" w:cs="Calibri"/>
          <w:b/>
          <w:sz w:val="28"/>
          <w:szCs w:val="28"/>
        </w:rPr>
      </w:pPr>
    </w:p>
    <w:p w14:paraId="4F404609" w14:textId="77777777" w:rsidR="001316C6" w:rsidRPr="00193D73" w:rsidRDefault="001316C6" w:rsidP="001316C6">
      <w:pPr>
        <w:spacing w:line="276" w:lineRule="auto"/>
        <w:jc w:val="center"/>
        <w:rPr>
          <w:rFonts w:ascii="Calibri" w:eastAsia="Calibri" w:hAnsi="Calibri" w:cs="Calibri"/>
          <w:b/>
          <w:sz w:val="28"/>
          <w:szCs w:val="28"/>
        </w:rPr>
      </w:pPr>
    </w:p>
    <w:p w14:paraId="6FCBB2F0" w14:textId="77777777" w:rsidR="001316C6" w:rsidRDefault="001316C6" w:rsidP="001316C6">
      <w:pPr>
        <w:spacing w:line="276" w:lineRule="auto"/>
        <w:jc w:val="center"/>
        <w:rPr>
          <w:rFonts w:ascii="Calibri" w:eastAsia="Calibri" w:hAnsi="Calibri" w:cs="Calibri"/>
          <w:b/>
          <w:i/>
          <w:sz w:val="28"/>
          <w:szCs w:val="28"/>
        </w:rPr>
      </w:pPr>
      <w:r w:rsidRPr="00193D73">
        <w:rPr>
          <w:rFonts w:ascii="Calibri" w:eastAsia="Calibri" w:hAnsi="Calibri" w:cs="Calibri"/>
          <w:b/>
          <w:i/>
          <w:sz w:val="28"/>
          <w:szCs w:val="28"/>
        </w:rPr>
        <w:t>The Institute of International Humanitarian Affairs (IIHA), Fordham University</w:t>
      </w:r>
    </w:p>
    <w:p w14:paraId="749CA210" w14:textId="6E7AB778" w:rsidR="001316C6" w:rsidRDefault="001316C6" w:rsidP="001316C6">
      <w:pPr>
        <w:spacing w:line="276" w:lineRule="auto"/>
        <w:jc w:val="center"/>
        <w:rPr>
          <w:rFonts w:ascii="Calibri" w:eastAsia="Calibri" w:hAnsi="Calibri" w:cs="Calibri"/>
          <w:b/>
          <w:i/>
          <w:sz w:val="28"/>
          <w:szCs w:val="28"/>
        </w:rPr>
      </w:pPr>
      <w:r>
        <w:rPr>
          <w:rFonts w:ascii="Calibri" w:eastAsia="Calibri" w:hAnsi="Calibri" w:cs="Calibri"/>
          <w:b/>
          <w:i/>
          <w:sz w:val="28"/>
          <w:szCs w:val="28"/>
        </w:rPr>
        <w:t>Netherlands Enterprise Agency (RVO)</w:t>
      </w:r>
    </w:p>
    <w:p w14:paraId="40F4617E" w14:textId="77777777" w:rsidR="001316C6" w:rsidRPr="009E5E07" w:rsidRDefault="001316C6" w:rsidP="001316C6">
      <w:pPr>
        <w:spacing w:line="276" w:lineRule="auto"/>
        <w:jc w:val="center"/>
        <w:rPr>
          <w:rFonts w:ascii="Calibri" w:eastAsia="Calibri" w:hAnsi="Calibri" w:cs="Calibri"/>
          <w:b/>
          <w:i/>
          <w:sz w:val="28"/>
          <w:szCs w:val="28"/>
        </w:rPr>
      </w:pPr>
      <w:r>
        <w:rPr>
          <w:rFonts w:ascii="Calibri" w:eastAsia="Calibri" w:hAnsi="Calibri" w:cs="Calibri"/>
          <w:b/>
          <w:i/>
          <w:sz w:val="28"/>
          <w:szCs w:val="28"/>
        </w:rPr>
        <w:t>Netherlands Red Cross</w:t>
      </w:r>
    </w:p>
    <w:p w14:paraId="7A4CFB88" w14:textId="77777777" w:rsidR="001316C6" w:rsidRDefault="001316C6" w:rsidP="001316C6">
      <w:pPr>
        <w:spacing w:after="0" w:line="240" w:lineRule="auto"/>
        <w:rPr>
          <w:i/>
          <w:iCs/>
        </w:rPr>
      </w:pPr>
    </w:p>
    <w:p w14:paraId="0B28706B" w14:textId="3505CDFA" w:rsidR="001316C6" w:rsidRPr="001316C6" w:rsidRDefault="001316C6" w:rsidP="001316C6">
      <w:pPr>
        <w:spacing w:line="276" w:lineRule="auto"/>
        <w:rPr>
          <w:rFonts w:ascii="Calibri" w:eastAsia="Calibri" w:hAnsi="Calibri" w:cs="Calibri"/>
          <w:b/>
          <w:i/>
          <w:sz w:val="28"/>
          <w:szCs w:val="28"/>
        </w:rPr>
      </w:pPr>
      <w:r>
        <w:rPr>
          <w:noProof/>
        </w:rPr>
        <w:drawing>
          <wp:anchor distT="0" distB="0" distL="114300" distR="114300" simplePos="0" relativeHeight="251660288" behindDoc="1" locked="0" layoutInCell="1" allowOverlap="1" wp14:anchorId="0AACCAF5" wp14:editId="59F97D57">
            <wp:simplePos x="0" y="0"/>
            <wp:positionH relativeFrom="margin">
              <wp:posOffset>3971290</wp:posOffset>
            </wp:positionH>
            <wp:positionV relativeFrom="paragraph">
              <wp:posOffset>1010920</wp:posOffset>
            </wp:positionV>
            <wp:extent cx="1791335" cy="596900"/>
            <wp:effectExtent l="0" t="0" r="0" b="0"/>
            <wp:wrapTight wrapText="bothSides">
              <wp:wrapPolygon edited="0">
                <wp:start x="0" y="0"/>
                <wp:lineTo x="0" y="20681"/>
                <wp:lineTo x="21363" y="20681"/>
                <wp:lineTo x="21363" y="0"/>
                <wp:lineTo x="0" y="0"/>
              </wp:wrapPolygon>
            </wp:wrapTight>
            <wp:docPr id="101866768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534667" name="Picture 1" descr="A close-up of a logo&#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1335" cy="596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7C1C8B06" wp14:editId="2ED0D643">
            <wp:simplePos x="0" y="0"/>
            <wp:positionH relativeFrom="margin">
              <wp:posOffset>0</wp:posOffset>
            </wp:positionH>
            <wp:positionV relativeFrom="paragraph">
              <wp:posOffset>817552</wp:posOffset>
            </wp:positionV>
            <wp:extent cx="2748280" cy="1102995"/>
            <wp:effectExtent l="0" t="0" r="0" b="0"/>
            <wp:wrapTight wrapText="bothSides">
              <wp:wrapPolygon edited="0">
                <wp:start x="1348" y="0"/>
                <wp:lineTo x="1348" y="17907"/>
                <wp:lineTo x="5540" y="17907"/>
                <wp:lineTo x="5540" y="11938"/>
                <wp:lineTo x="19913" y="11565"/>
                <wp:lineTo x="19913" y="8953"/>
                <wp:lineTo x="5540" y="5969"/>
                <wp:lineTo x="5540" y="0"/>
                <wp:lineTo x="1348" y="0"/>
              </wp:wrapPolygon>
            </wp:wrapTight>
            <wp:docPr id="1362399851" name="Afbeelding 2" descr="Afbeelding met schermopname, Graphics, tekst,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77492" name="Afbeelding 2" descr="Afbeelding met schermopname, Graphics, tekst, Lettertype&#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8280" cy="1102995"/>
                    </a:xfrm>
                    <a:prstGeom prst="rect">
                      <a:avLst/>
                    </a:prstGeom>
                  </pic:spPr>
                </pic:pic>
              </a:graphicData>
            </a:graphic>
            <wp14:sizeRelH relativeFrom="margin">
              <wp14:pctWidth>0</wp14:pctWidth>
            </wp14:sizeRelH>
            <wp14:sizeRelV relativeFrom="margin">
              <wp14:pctHeight>0</wp14:pctHeight>
            </wp14:sizeRelV>
          </wp:anchor>
        </w:drawing>
      </w:r>
      <w:r>
        <w:rPr>
          <w:i/>
          <w:iCs/>
        </w:rPr>
        <w:br w:type="page"/>
      </w:r>
    </w:p>
    <w:p w14:paraId="296D66E1" w14:textId="21B5499D" w:rsidR="001316C6" w:rsidRPr="001316C6" w:rsidRDefault="001316C6" w:rsidP="001316C6">
      <w:pPr>
        <w:spacing w:after="0"/>
        <w:jc w:val="center"/>
        <w:rPr>
          <w:b/>
          <w:bCs/>
          <w:sz w:val="24"/>
          <w:szCs w:val="24"/>
        </w:rPr>
      </w:pPr>
      <w:r w:rsidRPr="001316C6">
        <w:rPr>
          <w:b/>
          <w:bCs/>
          <w:sz w:val="24"/>
          <w:szCs w:val="24"/>
          <w:lang w:val="en-GB"/>
        </w:rPr>
        <w:lastRenderedPageBreak/>
        <w:t>Training Invitation</w:t>
      </w:r>
      <w:r w:rsidRPr="001316C6">
        <w:rPr>
          <w:b/>
          <w:bCs/>
          <w:sz w:val="24"/>
          <w:szCs w:val="24"/>
        </w:rPr>
        <w:t>: Humanitarian Preparation and Response Program (HUPREP)</w:t>
      </w:r>
    </w:p>
    <w:p w14:paraId="65108D71" w14:textId="77777777" w:rsidR="001316C6" w:rsidRDefault="001316C6" w:rsidP="001316C6">
      <w:pPr>
        <w:spacing w:after="0"/>
        <w:jc w:val="both"/>
        <w:rPr>
          <w:i/>
          <w:iCs/>
        </w:rPr>
      </w:pPr>
    </w:p>
    <w:p w14:paraId="174A7753" w14:textId="53F6B416" w:rsidR="005B2C13" w:rsidRPr="00F47E26" w:rsidRDefault="005B2C13" w:rsidP="00A74EF7">
      <w:pPr>
        <w:spacing w:after="0" w:line="240" w:lineRule="auto"/>
        <w:jc w:val="both"/>
        <w:rPr>
          <w:i/>
          <w:iCs/>
          <w:lang w:val="en-GB"/>
        </w:rPr>
      </w:pPr>
      <w:r w:rsidRPr="00F47E26">
        <w:rPr>
          <w:i/>
          <w:iCs/>
          <w:lang w:val="en-GB"/>
        </w:rPr>
        <w:t>RVO/DRRS and the Netherlands Red Cross</w:t>
      </w:r>
      <w:r w:rsidR="0071131F" w:rsidRPr="00F47E26">
        <w:rPr>
          <w:i/>
          <w:iCs/>
          <w:lang w:val="en-GB"/>
        </w:rPr>
        <w:t xml:space="preserve"> (NRK) </w:t>
      </w:r>
      <w:r w:rsidRPr="00F47E26">
        <w:rPr>
          <w:i/>
          <w:iCs/>
          <w:lang w:val="en-GB"/>
        </w:rPr>
        <w:t xml:space="preserve">are </w:t>
      </w:r>
      <w:r w:rsidR="00235294" w:rsidRPr="00F47E26">
        <w:rPr>
          <w:i/>
          <w:iCs/>
          <w:lang w:val="en-GB"/>
        </w:rPr>
        <w:t xml:space="preserve">organizing </w:t>
      </w:r>
      <w:r w:rsidRPr="00F47E26">
        <w:rPr>
          <w:i/>
          <w:iCs/>
          <w:lang w:val="en-GB"/>
        </w:rPr>
        <w:t>a two-day</w:t>
      </w:r>
      <w:r w:rsidR="00394EE6" w:rsidRPr="00F47E26">
        <w:rPr>
          <w:i/>
          <w:iCs/>
          <w:lang w:val="en-GB"/>
        </w:rPr>
        <w:t xml:space="preserve"> training </w:t>
      </w:r>
      <w:r w:rsidRPr="00F47E26">
        <w:rPr>
          <w:i/>
          <w:iCs/>
          <w:lang w:val="en-GB"/>
        </w:rPr>
        <w:t>to provide professionals with the essential knowledge and practical tools to navigate the complexities of humanitarian work. Whether you're new to the sector or have prior experience, you will gain the skills needed to operate effectively within humanitarian settings.</w:t>
      </w:r>
    </w:p>
    <w:p w14:paraId="36C425D5" w14:textId="77777777" w:rsidR="00A74EF7" w:rsidRPr="00F47E26" w:rsidRDefault="00A74EF7" w:rsidP="00A74EF7">
      <w:pPr>
        <w:spacing w:after="0" w:line="240" w:lineRule="auto"/>
        <w:jc w:val="both"/>
        <w:rPr>
          <w:lang w:val="en-GB"/>
        </w:rPr>
      </w:pPr>
    </w:p>
    <w:p w14:paraId="1F47BDCB" w14:textId="42D5C581" w:rsidR="00A74EF7" w:rsidRPr="00F47E26" w:rsidRDefault="00A74EF7" w:rsidP="00A74EF7">
      <w:pPr>
        <w:spacing w:after="0" w:line="240" w:lineRule="auto"/>
        <w:jc w:val="both"/>
        <w:rPr>
          <w:b/>
          <w:bCs/>
          <w:lang w:val="en-GB"/>
        </w:rPr>
      </w:pPr>
      <w:r w:rsidRPr="00F47E26">
        <w:rPr>
          <w:b/>
          <w:bCs/>
          <w:lang w:val="en-GB"/>
        </w:rPr>
        <w:t>About the Training</w:t>
      </w:r>
    </w:p>
    <w:p w14:paraId="4955EC17" w14:textId="729C0858" w:rsidR="00394EE6" w:rsidRPr="00F47E26" w:rsidRDefault="00394EE6" w:rsidP="00394EE6">
      <w:pPr>
        <w:spacing w:after="0"/>
        <w:jc w:val="both"/>
        <w:rPr>
          <w:lang w:val="en-GB"/>
        </w:rPr>
      </w:pPr>
      <w:r w:rsidRPr="00F47E26">
        <w:rPr>
          <w:lang w:val="en-GB"/>
        </w:rPr>
        <w:t xml:space="preserve">As a </w:t>
      </w:r>
      <w:r w:rsidR="003A2328" w:rsidRPr="00F47E26">
        <w:rPr>
          <w:lang w:val="en-GB"/>
        </w:rPr>
        <w:t>humanitarian worker or</w:t>
      </w:r>
      <w:r w:rsidR="00F47E26" w:rsidRPr="00F47E26">
        <w:rPr>
          <w:lang w:val="en-GB"/>
        </w:rPr>
        <w:t xml:space="preserve"> a</w:t>
      </w:r>
      <w:r w:rsidR="003A2328" w:rsidRPr="00F47E26">
        <w:rPr>
          <w:lang w:val="en-GB"/>
        </w:rPr>
        <w:t xml:space="preserve"> </w:t>
      </w:r>
      <w:r w:rsidRPr="00F47E26">
        <w:rPr>
          <w:lang w:val="en-GB"/>
        </w:rPr>
        <w:t>technical expert</w:t>
      </w:r>
      <w:r w:rsidR="003A2328" w:rsidRPr="00F47E26">
        <w:rPr>
          <w:lang w:val="en-GB"/>
        </w:rPr>
        <w:t xml:space="preserve"> working in or wit</w:t>
      </w:r>
      <w:r w:rsidR="00F47E26" w:rsidRPr="00F47E26">
        <w:rPr>
          <w:lang w:val="en-GB"/>
        </w:rPr>
        <w:t>h</w:t>
      </w:r>
      <w:r w:rsidR="003A2328" w:rsidRPr="00F47E26">
        <w:rPr>
          <w:lang w:val="en-GB"/>
        </w:rPr>
        <w:t xml:space="preserve"> the humanitarian sector</w:t>
      </w:r>
      <w:r w:rsidRPr="00F47E26">
        <w:rPr>
          <w:lang w:val="en-GB"/>
        </w:rPr>
        <w:t xml:space="preserve">, you bring critical knowledge and experience to partners in the humanitarian field. To anchor this experience in a sustainable way in humanitarian environments, it’s essential to align with the </w:t>
      </w:r>
      <w:r w:rsidR="003A2328" w:rsidRPr="00F47E26">
        <w:rPr>
          <w:lang w:val="en-GB"/>
        </w:rPr>
        <w:t xml:space="preserve">humanitarian </w:t>
      </w:r>
      <w:r w:rsidRPr="00F47E26">
        <w:rPr>
          <w:lang w:val="en-GB"/>
        </w:rPr>
        <w:t>principles, systems and actors that shape international response. Understanding the systems, principles and dynamics of the humanitarian sector is key to delivering meaningful, coordinated impact.</w:t>
      </w:r>
    </w:p>
    <w:p w14:paraId="74DA423C" w14:textId="77777777" w:rsidR="00394EE6" w:rsidRPr="00F47E26" w:rsidRDefault="00394EE6" w:rsidP="00394EE6">
      <w:pPr>
        <w:spacing w:after="0"/>
        <w:jc w:val="both"/>
        <w:rPr>
          <w:lang w:val="en-GB"/>
        </w:rPr>
      </w:pPr>
    </w:p>
    <w:p w14:paraId="11E02092" w14:textId="068FC87F" w:rsidR="00394EE6" w:rsidRPr="00F47E26" w:rsidRDefault="00394EE6" w:rsidP="00394EE6">
      <w:pPr>
        <w:spacing w:after="0"/>
        <w:jc w:val="both"/>
        <w:rPr>
          <w:lang w:val="en-GB"/>
        </w:rPr>
      </w:pPr>
      <w:r w:rsidRPr="00F47E26">
        <w:rPr>
          <w:lang w:val="en-GB"/>
        </w:rPr>
        <w:t xml:space="preserve">The Humanitarian Preparation and Response Program (HUPREP), held on </w:t>
      </w:r>
      <w:r w:rsidRPr="00F47E26">
        <w:rPr>
          <w:u w:val="single"/>
          <w:lang w:val="en-GB"/>
        </w:rPr>
        <w:t>December 17</w:t>
      </w:r>
      <w:r w:rsidR="001316C6">
        <w:rPr>
          <w:u w:val="single"/>
          <w:lang w:val="en-GB"/>
        </w:rPr>
        <w:t xml:space="preserve"> </w:t>
      </w:r>
      <w:r w:rsidRPr="00F47E26">
        <w:rPr>
          <w:u w:val="single"/>
          <w:lang w:val="en-GB"/>
        </w:rPr>
        <w:t>&amp;</w:t>
      </w:r>
      <w:r w:rsidR="001316C6">
        <w:rPr>
          <w:u w:val="single"/>
          <w:lang w:val="en-GB"/>
        </w:rPr>
        <w:t xml:space="preserve"> </w:t>
      </w:r>
      <w:r w:rsidRPr="00F47E26">
        <w:rPr>
          <w:u w:val="single"/>
          <w:lang w:val="en-GB"/>
        </w:rPr>
        <w:t>18, 2025 in The Hague</w:t>
      </w:r>
      <w:r w:rsidRPr="00F47E26">
        <w:rPr>
          <w:lang w:val="en-GB"/>
        </w:rPr>
        <w:t>, is designed specifically for DRRS roster members</w:t>
      </w:r>
      <w:r w:rsidR="003A2328" w:rsidRPr="00F47E26">
        <w:rPr>
          <w:lang w:val="en-GB"/>
        </w:rPr>
        <w:t xml:space="preserve"> and others working for the humanitarian sector</w:t>
      </w:r>
      <w:r w:rsidRPr="00F47E26">
        <w:rPr>
          <w:lang w:val="en-GB"/>
        </w:rPr>
        <w:t>.</w:t>
      </w:r>
    </w:p>
    <w:p w14:paraId="5E4E4B71" w14:textId="77777777" w:rsidR="00394EE6" w:rsidRPr="00F47E26" w:rsidRDefault="00394EE6" w:rsidP="00394EE6">
      <w:pPr>
        <w:spacing w:after="0"/>
        <w:jc w:val="both"/>
        <w:rPr>
          <w:lang w:val="en-GB"/>
        </w:rPr>
      </w:pPr>
    </w:p>
    <w:p w14:paraId="7CB1160C" w14:textId="0ED7377A" w:rsidR="00394EE6" w:rsidRPr="00F47E26" w:rsidRDefault="00394EE6" w:rsidP="00394EE6">
      <w:pPr>
        <w:spacing w:after="0"/>
        <w:jc w:val="both"/>
        <w:rPr>
          <w:lang w:val="en-GB"/>
        </w:rPr>
      </w:pPr>
      <w:r w:rsidRPr="00F47E26">
        <w:rPr>
          <w:lang w:val="en-GB"/>
        </w:rPr>
        <w:t xml:space="preserve">Led by experienced humanitarian practitioners and expert facilitators from the Netherlands Red Cross, Fordham University’s IIHA, and the Netherlands Enterprise Agency (RVO), this intensive two-day training explores the structure of the humanitarian system, international legal frameworks, emerging global challenges and how you can effectively navigate the humanitarian architecture. Through interactive sessions and real-world case studies, you'll connect your technical expertise to the wider humanitarian landscape. </w:t>
      </w:r>
    </w:p>
    <w:p w14:paraId="23439646" w14:textId="77777777" w:rsidR="00394EE6" w:rsidRPr="00F47E26" w:rsidRDefault="00394EE6" w:rsidP="00394EE6">
      <w:pPr>
        <w:spacing w:after="0"/>
        <w:jc w:val="both"/>
        <w:rPr>
          <w:lang w:val="en-GB"/>
        </w:rPr>
      </w:pPr>
    </w:p>
    <w:p w14:paraId="2C440FCD" w14:textId="4E79AC97" w:rsidR="00394EE6" w:rsidRPr="00F47E26" w:rsidRDefault="00394EE6" w:rsidP="00394EE6">
      <w:pPr>
        <w:spacing w:after="0"/>
        <w:jc w:val="both"/>
        <w:rPr>
          <w:b/>
          <w:bCs/>
          <w:lang w:val="en-GB"/>
        </w:rPr>
      </w:pPr>
      <w:r w:rsidRPr="00F47E26">
        <w:rPr>
          <w:b/>
          <w:bCs/>
          <w:lang w:val="en-GB"/>
        </w:rPr>
        <w:t>Why Join?</w:t>
      </w:r>
    </w:p>
    <w:p w14:paraId="1B64132F" w14:textId="5FCBB98A" w:rsidR="00394EE6" w:rsidRPr="00F47E26" w:rsidRDefault="00394EE6" w:rsidP="00394EE6">
      <w:pPr>
        <w:numPr>
          <w:ilvl w:val="0"/>
          <w:numId w:val="10"/>
        </w:numPr>
        <w:spacing w:after="0"/>
        <w:rPr>
          <w:lang w:val="en-GB"/>
        </w:rPr>
      </w:pPr>
      <w:r w:rsidRPr="00F47E26">
        <w:rPr>
          <w:lang w:val="en-GB"/>
        </w:rPr>
        <w:t>Position your expertise within the realities of humanitarian response.</w:t>
      </w:r>
    </w:p>
    <w:p w14:paraId="6940C2B2" w14:textId="2599BE3F" w:rsidR="00394EE6" w:rsidRPr="00F47E26" w:rsidRDefault="00394EE6" w:rsidP="00394EE6">
      <w:pPr>
        <w:numPr>
          <w:ilvl w:val="0"/>
          <w:numId w:val="10"/>
        </w:numPr>
        <w:spacing w:after="0"/>
        <w:rPr>
          <w:lang w:val="en-GB"/>
        </w:rPr>
      </w:pPr>
      <w:r w:rsidRPr="00F47E26">
        <w:rPr>
          <w:lang w:val="en-GB"/>
        </w:rPr>
        <w:t>Strengthen collaboration with UN agencies, donors, NGOs and affected communities.</w:t>
      </w:r>
    </w:p>
    <w:p w14:paraId="747A1195" w14:textId="16244BEF" w:rsidR="00394EE6" w:rsidRPr="00F47E26" w:rsidRDefault="00394EE6" w:rsidP="00394EE6">
      <w:pPr>
        <w:numPr>
          <w:ilvl w:val="0"/>
          <w:numId w:val="10"/>
        </w:numPr>
        <w:spacing w:after="0"/>
        <w:rPr>
          <w:lang w:val="en-GB"/>
        </w:rPr>
      </w:pPr>
      <w:r w:rsidRPr="00F47E26">
        <w:rPr>
          <w:lang w:val="en-GB"/>
        </w:rPr>
        <w:t>Gain tools to navigate complex humanitarian coordination structures.</w:t>
      </w:r>
    </w:p>
    <w:p w14:paraId="0A01890D" w14:textId="0981C986" w:rsidR="00394EE6" w:rsidRPr="00F47E26" w:rsidRDefault="00394EE6" w:rsidP="00394EE6">
      <w:pPr>
        <w:numPr>
          <w:ilvl w:val="0"/>
          <w:numId w:val="10"/>
        </w:numPr>
        <w:spacing w:after="0"/>
        <w:rPr>
          <w:lang w:val="en-GB"/>
        </w:rPr>
      </w:pPr>
      <w:r w:rsidRPr="00F47E26">
        <w:rPr>
          <w:lang w:val="en-GB"/>
        </w:rPr>
        <w:t>Expand your strategic understanding of the sector and your role within it.</w:t>
      </w:r>
    </w:p>
    <w:p w14:paraId="649EC8B5" w14:textId="77777777" w:rsidR="000514F4" w:rsidRPr="00F47E26" w:rsidRDefault="000514F4" w:rsidP="000514F4">
      <w:pPr>
        <w:spacing w:after="0" w:line="240" w:lineRule="auto"/>
        <w:jc w:val="both"/>
        <w:rPr>
          <w:lang w:val="en-GB"/>
        </w:rPr>
      </w:pPr>
    </w:p>
    <w:p w14:paraId="6DC945E6" w14:textId="0A174102" w:rsidR="00966AA6" w:rsidRPr="00F47E26" w:rsidRDefault="00D227F5" w:rsidP="00966AA6">
      <w:pPr>
        <w:spacing w:after="0" w:line="240" w:lineRule="auto"/>
        <w:jc w:val="both"/>
        <w:rPr>
          <w:b/>
          <w:bCs/>
          <w:lang w:val="en-GB"/>
        </w:rPr>
      </w:pPr>
      <w:r w:rsidRPr="00F47E26">
        <w:rPr>
          <w:b/>
          <w:bCs/>
          <w:lang w:val="en-GB"/>
        </w:rPr>
        <w:t>Who Can Apply?</w:t>
      </w:r>
    </w:p>
    <w:p w14:paraId="25ADC697" w14:textId="4C20EAEE" w:rsidR="00A74EF7" w:rsidRPr="00F47E26" w:rsidRDefault="00235294" w:rsidP="00966AA6">
      <w:pPr>
        <w:spacing w:after="0" w:line="240" w:lineRule="auto"/>
        <w:jc w:val="both"/>
        <w:rPr>
          <w:lang w:val="en-GB"/>
        </w:rPr>
      </w:pPr>
      <w:r w:rsidRPr="00F47E26">
        <w:rPr>
          <w:lang w:val="en-GB"/>
        </w:rPr>
        <w:t>This training is ideal f</w:t>
      </w:r>
      <w:r w:rsidR="00A74EF7" w:rsidRPr="00F47E26">
        <w:rPr>
          <w:lang w:val="en-GB"/>
        </w:rPr>
        <w:t>or</w:t>
      </w:r>
      <w:r w:rsidRPr="00F47E26">
        <w:rPr>
          <w:lang w:val="en-GB"/>
        </w:rPr>
        <w:t xml:space="preserve"> anyone working in or</w:t>
      </w:r>
      <w:r w:rsidR="00A74EF7" w:rsidRPr="00F47E26">
        <w:rPr>
          <w:lang w:val="en-GB"/>
        </w:rPr>
        <w:t xml:space="preserve"> planning to work within the humanitarian sector,</w:t>
      </w:r>
      <w:r w:rsidRPr="00F47E26">
        <w:rPr>
          <w:lang w:val="en-GB"/>
        </w:rPr>
        <w:t xml:space="preserve"> including</w:t>
      </w:r>
      <w:r w:rsidR="00966AA6" w:rsidRPr="00F47E26">
        <w:rPr>
          <w:lang w:val="en-GB"/>
        </w:rPr>
        <w:t>:</w:t>
      </w:r>
    </w:p>
    <w:p w14:paraId="3D76EB79" w14:textId="77777777" w:rsidR="00966AA6" w:rsidRPr="00F47E26" w:rsidRDefault="00966AA6" w:rsidP="00966AA6">
      <w:pPr>
        <w:pStyle w:val="Lijstalinea"/>
        <w:numPr>
          <w:ilvl w:val="0"/>
          <w:numId w:val="7"/>
        </w:numPr>
        <w:spacing w:after="0" w:line="240" w:lineRule="auto"/>
        <w:jc w:val="both"/>
        <w:rPr>
          <w:lang w:val="en-GB"/>
        </w:rPr>
      </w:pPr>
      <w:r w:rsidRPr="00F47E26">
        <w:rPr>
          <w:u w:val="single"/>
          <w:lang w:val="en-GB"/>
        </w:rPr>
        <w:t>DRRS roster experts</w:t>
      </w:r>
      <w:r w:rsidRPr="00F47E26">
        <w:rPr>
          <w:lang w:val="en-GB"/>
        </w:rPr>
        <w:t xml:space="preserve"> deploying to humanitarian positions.</w:t>
      </w:r>
    </w:p>
    <w:p w14:paraId="1080FC77" w14:textId="52852852" w:rsidR="00966AA6" w:rsidRPr="00F47E26" w:rsidRDefault="00966AA6" w:rsidP="00966AA6">
      <w:pPr>
        <w:pStyle w:val="Lijstalinea"/>
        <w:numPr>
          <w:ilvl w:val="0"/>
          <w:numId w:val="7"/>
        </w:numPr>
        <w:spacing w:after="0" w:line="240" w:lineRule="auto"/>
        <w:jc w:val="both"/>
        <w:rPr>
          <w:lang w:val="en-GB"/>
        </w:rPr>
      </w:pPr>
      <w:r w:rsidRPr="00F47E26">
        <w:rPr>
          <w:u w:val="single"/>
          <w:lang w:val="en-GB"/>
        </w:rPr>
        <w:t>Individuals (relatively) new</w:t>
      </w:r>
      <w:r w:rsidRPr="00F47E26">
        <w:rPr>
          <w:lang w:val="en-GB"/>
        </w:rPr>
        <w:t xml:space="preserve"> to the humanitarian sector or those looking to deepen their understanding.</w:t>
      </w:r>
    </w:p>
    <w:p w14:paraId="5C286B02" w14:textId="009C9A2B" w:rsidR="00966AA6" w:rsidRDefault="000514F4" w:rsidP="00966AA6">
      <w:pPr>
        <w:pStyle w:val="Lijstalinea"/>
        <w:numPr>
          <w:ilvl w:val="0"/>
          <w:numId w:val="7"/>
        </w:numPr>
        <w:spacing w:after="0" w:line="240" w:lineRule="auto"/>
        <w:jc w:val="both"/>
        <w:rPr>
          <w:lang w:val="en-GB"/>
        </w:rPr>
      </w:pPr>
      <w:r w:rsidRPr="00F47E26">
        <w:rPr>
          <w:u w:val="single"/>
          <w:lang w:val="en-GB"/>
        </w:rPr>
        <w:t>Experienced h</w:t>
      </w:r>
      <w:r w:rsidR="00966AA6" w:rsidRPr="00F47E26">
        <w:rPr>
          <w:u w:val="single"/>
          <w:lang w:val="en-GB"/>
        </w:rPr>
        <w:t>umanitarian professionals</w:t>
      </w:r>
      <w:r w:rsidR="00966AA6" w:rsidRPr="00F47E26">
        <w:rPr>
          <w:lang w:val="en-GB"/>
        </w:rPr>
        <w:t xml:space="preserve"> </w:t>
      </w:r>
      <w:r w:rsidR="00235294" w:rsidRPr="00F47E26">
        <w:rPr>
          <w:lang w:val="en-GB"/>
        </w:rPr>
        <w:t xml:space="preserve">looking to enhance </w:t>
      </w:r>
      <w:r w:rsidR="00966AA6" w:rsidRPr="00F47E26">
        <w:rPr>
          <w:lang w:val="en-GB"/>
        </w:rPr>
        <w:t xml:space="preserve">their knowledge of key principles, frameworks, and </w:t>
      </w:r>
      <w:r w:rsidR="00235294" w:rsidRPr="00F47E26">
        <w:rPr>
          <w:lang w:val="en-GB"/>
        </w:rPr>
        <w:t xml:space="preserve">response </w:t>
      </w:r>
      <w:r w:rsidR="00966AA6" w:rsidRPr="00F47E26">
        <w:rPr>
          <w:lang w:val="en-GB"/>
        </w:rPr>
        <w:t>strategies.</w:t>
      </w:r>
    </w:p>
    <w:p w14:paraId="4A0DF957" w14:textId="6ECC61DB" w:rsidR="007B64AC" w:rsidRPr="007B64AC" w:rsidRDefault="007B64AC" w:rsidP="001D0990">
      <w:pPr>
        <w:pStyle w:val="Lijstalinea"/>
        <w:numPr>
          <w:ilvl w:val="0"/>
          <w:numId w:val="7"/>
        </w:numPr>
        <w:spacing w:after="0" w:line="240" w:lineRule="auto"/>
        <w:jc w:val="both"/>
      </w:pPr>
      <w:r w:rsidRPr="007B64AC">
        <w:rPr>
          <w:u w:val="single"/>
        </w:rPr>
        <w:t>Experts from the private sector/academia</w:t>
      </w:r>
      <w:r>
        <w:t xml:space="preserve"> aiming t</w:t>
      </w:r>
      <w:r w:rsidRPr="007B64AC">
        <w:t>o support humanitarian activities, either remotely or in the field, and wish to better understand the context of their support.</w:t>
      </w:r>
    </w:p>
    <w:p w14:paraId="159E118F" w14:textId="77777777" w:rsidR="00966AA6" w:rsidRPr="00F47E26" w:rsidRDefault="00966AA6" w:rsidP="00966AA6">
      <w:pPr>
        <w:spacing w:after="0" w:line="240" w:lineRule="auto"/>
        <w:jc w:val="both"/>
        <w:rPr>
          <w:lang w:val="en-GB"/>
        </w:rPr>
      </w:pPr>
    </w:p>
    <w:p w14:paraId="558B4C5D" w14:textId="26CA6162" w:rsidR="00966AA6" w:rsidRPr="00F47E26" w:rsidRDefault="00D227F5" w:rsidP="00966AA6">
      <w:pPr>
        <w:spacing w:after="0" w:line="240" w:lineRule="auto"/>
        <w:jc w:val="both"/>
        <w:rPr>
          <w:b/>
          <w:bCs/>
          <w:lang w:val="en-GB"/>
        </w:rPr>
      </w:pPr>
      <w:r w:rsidRPr="00F47E26">
        <w:rPr>
          <w:b/>
          <w:bCs/>
          <w:lang w:val="en-GB"/>
        </w:rPr>
        <w:t xml:space="preserve">How </w:t>
      </w:r>
      <w:r w:rsidR="00210525" w:rsidRPr="00F47E26">
        <w:rPr>
          <w:b/>
          <w:bCs/>
          <w:lang w:val="en-GB"/>
        </w:rPr>
        <w:t>to</w:t>
      </w:r>
      <w:r w:rsidRPr="00F47E26">
        <w:rPr>
          <w:b/>
          <w:bCs/>
          <w:lang w:val="en-GB"/>
        </w:rPr>
        <w:t xml:space="preserve"> Apply</w:t>
      </w:r>
      <w:r w:rsidR="001316C6">
        <w:rPr>
          <w:b/>
          <w:bCs/>
          <w:lang w:val="en-GB"/>
        </w:rPr>
        <w:t>?</w:t>
      </w:r>
    </w:p>
    <w:p w14:paraId="0DB6ABA6" w14:textId="5343AC0C" w:rsidR="0071131F" w:rsidRPr="00F47E26" w:rsidRDefault="0071131F" w:rsidP="0071131F">
      <w:pPr>
        <w:spacing w:after="0" w:line="240" w:lineRule="auto"/>
        <w:jc w:val="both"/>
        <w:rPr>
          <w:lang w:val="en-GB"/>
        </w:rPr>
      </w:pPr>
      <w:r w:rsidRPr="00F47E26">
        <w:rPr>
          <w:lang w:val="en-GB"/>
        </w:rPr>
        <w:t xml:space="preserve">If you are interested in participating, please submit your application before </w:t>
      </w:r>
      <w:r w:rsidR="00394EE6" w:rsidRPr="00F47E26">
        <w:rPr>
          <w:u w:val="single"/>
          <w:lang w:val="en-GB"/>
        </w:rPr>
        <w:t>November</w:t>
      </w:r>
      <w:r w:rsidRPr="00F47E26">
        <w:rPr>
          <w:u w:val="single"/>
          <w:lang w:val="en-GB"/>
        </w:rPr>
        <w:t xml:space="preserve"> </w:t>
      </w:r>
      <w:r w:rsidR="00394EE6" w:rsidRPr="00F47E26">
        <w:rPr>
          <w:u w:val="single"/>
          <w:lang w:val="en-GB"/>
        </w:rPr>
        <w:t>25</w:t>
      </w:r>
      <w:r w:rsidRPr="00F47E26">
        <w:rPr>
          <w:u w:val="single"/>
          <w:lang w:val="en-GB"/>
        </w:rPr>
        <w:t>, 2025</w:t>
      </w:r>
      <w:r w:rsidRPr="00F47E26">
        <w:rPr>
          <w:lang w:val="en-GB"/>
        </w:rPr>
        <w:t xml:space="preserve">. To apply, kindly send an email to </w:t>
      </w:r>
      <w:hyperlink r:id="rId11" w:history="1">
        <w:r w:rsidRPr="00F47E26">
          <w:rPr>
            <w:rStyle w:val="Hyperlink"/>
            <w:lang w:val="en-GB"/>
          </w:rPr>
          <w:t>DRRS@rvo.nl</w:t>
        </w:r>
      </w:hyperlink>
      <w:r w:rsidRPr="00F47E26">
        <w:rPr>
          <w:lang w:val="en-GB"/>
        </w:rPr>
        <w:t xml:space="preserve"> with the following documents:</w:t>
      </w:r>
    </w:p>
    <w:p w14:paraId="761EE910" w14:textId="77777777" w:rsidR="0071131F" w:rsidRPr="00F47E26" w:rsidRDefault="0071131F" w:rsidP="0071131F">
      <w:pPr>
        <w:pStyle w:val="Lijstalinea"/>
        <w:numPr>
          <w:ilvl w:val="0"/>
          <w:numId w:val="7"/>
        </w:numPr>
        <w:spacing w:after="0" w:line="240" w:lineRule="auto"/>
        <w:jc w:val="both"/>
        <w:rPr>
          <w:lang w:val="en-GB"/>
        </w:rPr>
      </w:pPr>
      <w:r w:rsidRPr="00F47E26">
        <w:rPr>
          <w:lang w:val="en-GB"/>
        </w:rPr>
        <w:t>Your CV</w:t>
      </w:r>
    </w:p>
    <w:p w14:paraId="1A38795A" w14:textId="6FAD8CD4" w:rsidR="0071131F" w:rsidRPr="00F47E26" w:rsidRDefault="0071131F" w:rsidP="0071131F">
      <w:pPr>
        <w:pStyle w:val="Lijstalinea"/>
        <w:numPr>
          <w:ilvl w:val="0"/>
          <w:numId w:val="7"/>
        </w:numPr>
        <w:spacing w:after="0" w:line="240" w:lineRule="auto"/>
        <w:jc w:val="both"/>
        <w:rPr>
          <w:lang w:val="en-GB"/>
        </w:rPr>
      </w:pPr>
      <w:r w:rsidRPr="00F47E26">
        <w:rPr>
          <w:lang w:val="en-GB"/>
        </w:rPr>
        <w:t>A brief motivation</w:t>
      </w:r>
      <w:r w:rsidR="00235294" w:rsidRPr="00F47E26">
        <w:rPr>
          <w:lang w:val="en-GB"/>
        </w:rPr>
        <w:t xml:space="preserve">, </w:t>
      </w:r>
      <w:r w:rsidRPr="00F47E26">
        <w:rPr>
          <w:lang w:val="en-GB"/>
        </w:rPr>
        <w:t>outlining your reasons for wanting to attend</w:t>
      </w:r>
    </w:p>
    <w:p w14:paraId="733203EF" w14:textId="77777777" w:rsidR="0071131F" w:rsidRPr="00F47E26" w:rsidRDefault="0071131F" w:rsidP="0071131F">
      <w:pPr>
        <w:spacing w:after="0" w:line="240" w:lineRule="auto"/>
        <w:jc w:val="both"/>
        <w:rPr>
          <w:lang w:val="en-GB"/>
        </w:rPr>
      </w:pPr>
    </w:p>
    <w:p w14:paraId="4F3D94D2" w14:textId="3D06AB2B" w:rsidR="00966AA6" w:rsidRPr="00F47E26" w:rsidRDefault="00210525" w:rsidP="00966AA6">
      <w:pPr>
        <w:spacing w:after="0" w:line="240" w:lineRule="auto"/>
        <w:jc w:val="both"/>
        <w:rPr>
          <w:b/>
          <w:bCs/>
          <w:lang w:val="en-GB"/>
        </w:rPr>
      </w:pPr>
      <w:r w:rsidRPr="00F47E26">
        <w:rPr>
          <w:b/>
          <w:bCs/>
          <w:lang w:val="en-GB"/>
        </w:rPr>
        <w:t>Practical Information</w:t>
      </w:r>
    </w:p>
    <w:p w14:paraId="45EEE0EE" w14:textId="29931051" w:rsidR="001316C6" w:rsidRPr="001316C6" w:rsidRDefault="00966AA6" w:rsidP="001316C6">
      <w:pPr>
        <w:pStyle w:val="Lijstalinea"/>
        <w:numPr>
          <w:ilvl w:val="0"/>
          <w:numId w:val="7"/>
        </w:numPr>
        <w:spacing w:after="0" w:line="240" w:lineRule="auto"/>
        <w:jc w:val="both"/>
        <w:rPr>
          <w:lang w:val="en-GB"/>
        </w:rPr>
      </w:pPr>
      <w:r w:rsidRPr="00F47E26">
        <w:rPr>
          <w:u w:val="single"/>
          <w:lang w:val="en-GB"/>
        </w:rPr>
        <w:lastRenderedPageBreak/>
        <w:t>Location</w:t>
      </w:r>
      <w:r w:rsidRPr="00F47E26">
        <w:rPr>
          <w:lang w:val="en-GB"/>
        </w:rPr>
        <w:t xml:space="preserve">: The Netherlands Red Cross, Anna van </w:t>
      </w:r>
      <w:proofErr w:type="spellStart"/>
      <w:r w:rsidRPr="00F47E26">
        <w:rPr>
          <w:lang w:val="en-GB"/>
        </w:rPr>
        <w:t>Saksenlaan</w:t>
      </w:r>
      <w:proofErr w:type="spellEnd"/>
      <w:r w:rsidRPr="00F47E26">
        <w:rPr>
          <w:lang w:val="en-GB"/>
        </w:rPr>
        <w:t xml:space="preserve"> 50, The Hague, Netherlands</w:t>
      </w:r>
      <w:r w:rsidR="0071131F" w:rsidRPr="00F47E26">
        <w:rPr>
          <w:lang w:val="en-GB"/>
        </w:rPr>
        <w:t>.</w:t>
      </w:r>
    </w:p>
    <w:p w14:paraId="5EA18DA3" w14:textId="57776C30" w:rsidR="0071131F" w:rsidRPr="001316C6" w:rsidRDefault="001316C6" w:rsidP="001316C6">
      <w:pPr>
        <w:pStyle w:val="Lijstalinea"/>
        <w:numPr>
          <w:ilvl w:val="0"/>
          <w:numId w:val="7"/>
        </w:numPr>
        <w:spacing w:after="0" w:line="240" w:lineRule="auto"/>
        <w:jc w:val="both"/>
        <w:rPr>
          <w:lang w:val="en-GB"/>
        </w:rPr>
      </w:pPr>
      <w:r w:rsidRPr="00F47E26">
        <w:rPr>
          <w:u w:val="single"/>
          <w:lang w:val="en-GB"/>
        </w:rPr>
        <w:t>Cost</w:t>
      </w:r>
      <w:r w:rsidRPr="00F47E26">
        <w:rPr>
          <w:lang w:val="en-GB"/>
        </w:rPr>
        <w:t>: There are no fees associated with participation in this training program. However, please note that accommodation and travel expenses will be at your own expense.</w:t>
      </w:r>
    </w:p>
    <w:sectPr w:rsidR="0071131F" w:rsidRPr="001316C6">
      <w:footerReference w:type="even"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00EED" w14:textId="77777777" w:rsidR="00EA6091" w:rsidRDefault="00EA6091" w:rsidP="00614B3B">
      <w:pPr>
        <w:spacing w:after="0" w:line="240" w:lineRule="auto"/>
      </w:pPr>
      <w:r>
        <w:separator/>
      </w:r>
    </w:p>
  </w:endnote>
  <w:endnote w:type="continuationSeparator" w:id="0">
    <w:p w14:paraId="1719262A" w14:textId="77777777" w:rsidR="00EA6091" w:rsidRDefault="00EA6091" w:rsidP="00614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310D6" w14:textId="0D8C7128" w:rsidR="00614B3B" w:rsidRDefault="00614B3B">
    <w:pPr>
      <w:pStyle w:val="Voettekst"/>
    </w:pPr>
    <w:r>
      <w:rPr>
        <w:noProof/>
      </w:rPr>
      <mc:AlternateContent>
        <mc:Choice Requires="wps">
          <w:drawing>
            <wp:anchor distT="0" distB="0" distL="0" distR="0" simplePos="0" relativeHeight="251659264" behindDoc="0" locked="0" layoutInCell="1" allowOverlap="1" wp14:anchorId="5FDDCE84" wp14:editId="349A80EE">
              <wp:simplePos x="635" y="635"/>
              <wp:positionH relativeFrom="page">
                <wp:align>left</wp:align>
              </wp:positionH>
              <wp:positionV relativeFrom="page">
                <wp:align>bottom</wp:align>
              </wp:positionV>
              <wp:extent cx="982345" cy="357505"/>
              <wp:effectExtent l="0" t="0" r="8255" b="0"/>
              <wp:wrapNone/>
              <wp:docPr id="129165842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2416609D" w14:textId="098532B7" w:rsidR="00614B3B" w:rsidRPr="00614B3B" w:rsidRDefault="00614B3B" w:rsidP="00614B3B">
                          <w:pPr>
                            <w:spacing w:after="0"/>
                            <w:rPr>
                              <w:rFonts w:ascii="Calibri" w:eastAsia="Calibri" w:hAnsi="Calibri" w:cs="Calibri"/>
                              <w:noProof/>
                              <w:color w:val="000000"/>
                              <w:sz w:val="20"/>
                              <w:szCs w:val="20"/>
                            </w:rPr>
                          </w:pPr>
                          <w:r w:rsidRPr="00614B3B">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FDDCE84" id="_x0000_t202" coordsize="21600,21600" o:spt="202" path="m,l,21600r21600,l21600,xe">
              <v:stroke joinstyle="miter"/>
              <v:path gradientshapeok="t" o:connecttype="rect"/>
            </v:shapetype>
            <v:shape id="Tekstvak 2" o:spid="_x0000_s1026" type="#_x0000_t202" alt="Intern gebruik" style="position:absolute;margin-left:0;margin-top:0;width:77.3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" filled="f" stroked="f">
              <v:textbox style="mso-fit-shape-to-text:t" inset="20pt,0,0,15pt">
                <w:txbxContent>
                  <w:p w14:paraId="2416609D" w14:textId="098532B7" w:rsidR="00614B3B" w:rsidRPr="00614B3B" w:rsidRDefault="00614B3B" w:rsidP="00614B3B">
                    <w:pPr>
                      <w:spacing w:after="0"/>
                      <w:rPr>
                        <w:rFonts w:ascii="Calibri" w:eastAsia="Calibri" w:hAnsi="Calibri" w:cs="Calibri"/>
                        <w:noProof/>
                        <w:color w:val="000000"/>
                        <w:sz w:val="20"/>
                        <w:szCs w:val="20"/>
                      </w:rPr>
                    </w:pPr>
                    <w:r w:rsidRPr="00614B3B">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B6990" w14:textId="22856742" w:rsidR="00614B3B" w:rsidRDefault="00614B3B">
    <w:pPr>
      <w:pStyle w:val="Voettekst"/>
    </w:pPr>
    <w:r>
      <w:rPr>
        <w:noProof/>
      </w:rPr>
      <mc:AlternateContent>
        <mc:Choice Requires="wps">
          <w:drawing>
            <wp:anchor distT="0" distB="0" distL="0" distR="0" simplePos="0" relativeHeight="251658240" behindDoc="0" locked="0" layoutInCell="1" allowOverlap="1" wp14:anchorId="72D7201F" wp14:editId="395862C1">
              <wp:simplePos x="635" y="635"/>
              <wp:positionH relativeFrom="page">
                <wp:align>left</wp:align>
              </wp:positionH>
              <wp:positionV relativeFrom="page">
                <wp:align>bottom</wp:align>
              </wp:positionV>
              <wp:extent cx="982345" cy="357505"/>
              <wp:effectExtent l="0" t="0" r="8255" b="0"/>
              <wp:wrapNone/>
              <wp:docPr id="1238775169"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1DF8B7E8" w14:textId="69B3F574" w:rsidR="00614B3B" w:rsidRPr="00614B3B" w:rsidRDefault="00614B3B" w:rsidP="00614B3B">
                          <w:pPr>
                            <w:spacing w:after="0"/>
                            <w:rPr>
                              <w:rFonts w:ascii="Calibri" w:eastAsia="Calibri" w:hAnsi="Calibri" w:cs="Calibri"/>
                              <w:noProof/>
                              <w:color w:val="000000"/>
                              <w:sz w:val="20"/>
                              <w:szCs w:val="20"/>
                            </w:rPr>
                          </w:pPr>
                          <w:r w:rsidRPr="00614B3B">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D7201F" id="_x0000_t202" coordsize="21600,21600" o:spt="202" path="m,l,21600r21600,l21600,xe">
              <v:stroke joinstyle="miter"/>
              <v:path gradientshapeok="t" o:connecttype="rect"/>
            </v:shapetype>
            <v:shape id="Tekstvak 1" o:spid="_x0000_s1027" type="#_x0000_t202" alt="Intern gebruik" style="position:absolute;margin-left:0;margin-top:0;width:77.3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" filled="f" stroked="f">
              <v:textbox style="mso-fit-shape-to-text:t" inset="20pt,0,0,15pt">
                <w:txbxContent>
                  <w:p w14:paraId="1DF8B7E8" w14:textId="69B3F574" w:rsidR="00614B3B" w:rsidRPr="00614B3B" w:rsidRDefault="00614B3B" w:rsidP="00614B3B">
                    <w:pPr>
                      <w:spacing w:after="0"/>
                      <w:rPr>
                        <w:rFonts w:ascii="Calibri" w:eastAsia="Calibri" w:hAnsi="Calibri" w:cs="Calibri"/>
                        <w:noProof/>
                        <w:color w:val="000000"/>
                        <w:sz w:val="20"/>
                        <w:szCs w:val="20"/>
                      </w:rPr>
                    </w:pPr>
                    <w:r w:rsidRPr="00614B3B">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9E365" w14:textId="77777777" w:rsidR="00EA6091" w:rsidRDefault="00EA6091" w:rsidP="00614B3B">
      <w:pPr>
        <w:spacing w:after="0" w:line="240" w:lineRule="auto"/>
      </w:pPr>
      <w:r>
        <w:separator/>
      </w:r>
    </w:p>
  </w:footnote>
  <w:footnote w:type="continuationSeparator" w:id="0">
    <w:p w14:paraId="13878C60" w14:textId="77777777" w:rsidR="00EA6091" w:rsidRDefault="00EA6091" w:rsidP="00614B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564E6"/>
    <w:multiLevelType w:val="hybridMultilevel"/>
    <w:tmpl w:val="453A4DFA"/>
    <w:lvl w:ilvl="0" w:tplc="B3AE921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7540C5A"/>
    <w:multiLevelType w:val="hybridMultilevel"/>
    <w:tmpl w:val="3910980A"/>
    <w:lvl w:ilvl="0" w:tplc="B3AE921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0927DB3"/>
    <w:multiLevelType w:val="multilevel"/>
    <w:tmpl w:val="2E804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170368"/>
    <w:multiLevelType w:val="multilevel"/>
    <w:tmpl w:val="9B04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A96749"/>
    <w:multiLevelType w:val="hybridMultilevel"/>
    <w:tmpl w:val="7220BEB0"/>
    <w:lvl w:ilvl="0" w:tplc="B3AE921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60B4CE0"/>
    <w:multiLevelType w:val="multilevel"/>
    <w:tmpl w:val="D826E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0915A9"/>
    <w:multiLevelType w:val="hybridMultilevel"/>
    <w:tmpl w:val="5F8AC34C"/>
    <w:lvl w:ilvl="0" w:tplc="B3AE921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462409F"/>
    <w:multiLevelType w:val="hybridMultilevel"/>
    <w:tmpl w:val="990A990E"/>
    <w:lvl w:ilvl="0" w:tplc="B3AE921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70E58AA"/>
    <w:multiLevelType w:val="hybridMultilevel"/>
    <w:tmpl w:val="97D68808"/>
    <w:lvl w:ilvl="0" w:tplc="B3AE921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4924CE3"/>
    <w:multiLevelType w:val="hybridMultilevel"/>
    <w:tmpl w:val="ADAE7C06"/>
    <w:lvl w:ilvl="0" w:tplc="B3AE921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385906">
    <w:abstractNumId w:val="8"/>
  </w:num>
  <w:num w:numId="2" w16cid:durableId="135226385">
    <w:abstractNumId w:val="0"/>
  </w:num>
  <w:num w:numId="3" w16cid:durableId="863399305">
    <w:abstractNumId w:val="9"/>
  </w:num>
  <w:num w:numId="4" w16cid:durableId="1442607587">
    <w:abstractNumId w:val="7"/>
  </w:num>
  <w:num w:numId="5" w16cid:durableId="587277609">
    <w:abstractNumId w:val="6"/>
  </w:num>
  <w:num w:numId="6" w16cid:durableId="1670907584">
    <w:abstractNumId w:val="1"/>
  </w:num>
  <w:num w:numId="7" w16cid:durableId="447941420">
    <w:abstractNumId w:val="4"/>
  </w:num>
  <w:num w:numId="8" w16cid:durableId="954168005">
    <w:abstractNumId w:val="3"/>
  </w:num>
  <w:num w:numId="9" w16cid:durableId="1887525454">
    <w:abstractNumId w:val="5"/>
  </w:num>
  <w:num w:numId="10" w16cid:durableId="360742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8AF"/>
    <w:rsid w:val="000514F4"/>
    <w:rsid w:val="001143F5"/>
    <w:rsid w:val="001316C6"/>
    <w:rsid w:val="00160B82"/>
    <w:rsid w:val="00210525"/>
    <w:rsid w:val="00235294"/>
    <w:rsid w:val="0026130E"/>
    <w:rsid w:val="00377150"/>
    <w:rsid w:val="00394EE6"/>
    <w:rsid w:val="003A2328"/>
    <w:rsid w:val="003E2191"/>
    <w:rsid w:val="005B2C13"/>
    <w:rsid w:val="005C4230"/>
    <w:rsid w:val="00614B3B"/>
    <w:rsid w:val="006C4A8C"/>
    <w:rsid w:val="0070789F"/>
    <w:rsid w:val="0071131F"/>
    <w:rsid w:val="007B64AC"/>
    <w:rsid w:val="00906D37"/>
    <w:rsid w:val="00966AA6"/>
    <w:rsid w:val="00A74EF7"/>
    <w:rsid w:val="00A83975"/>
    <w:rsid w:val="00B0037E"/>
    <w:rsid w:val="00B17105"/>
    <w:rsid w:val="00D158AF"/>
    <w:rsid w:val="00D227F5"/>
    <w:rsid w:val="00D561D9"/>
    <w:rsid w:val="00DD10E9"/>
    <w:rsid w:val="00E84C66"/>
    <w:rsid w:val="00EA6091"/>
    <w:rsid w:val="00F47E26"/>
    <w:rsid w:val="00F869E3"/>
    <w:rsid w:val="00FB354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4B160D"/>
  <w15:chartTrackingRefBased/>
  <w15:docId w15:val="{44D56DB3-D5F2-4780-A8FE-BD5FC344F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US"/>
    </w:rPr>
  </w:style>
  <w:style w:type="paragraph" w:styleId="Kop1">
    <w:name w:val="heading 1"/>
    <w:basedOn w:val="Standaard"/>
    <w:next w:val="Standaard"/>
    <w:link w:val="Kop1Char"/>
    <w:uiPriority w:val="9"/>
    <w:qFormat/>
    <w:rsid w:val="00D158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158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58A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58A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58A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58A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58A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58A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58A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58AF"/>
    <w:rPr>
      <w:rFonts w:asciiTheme="majorHAnsi" w:eastAsiaTheme="majorEastAsia" w:hAnsiTheme="majorHAnsi" w:cstheme="majorBidi"/>
      <w:color w:val="0F4761" w:themeColor="accent1" w:themeShade="BF"/>
      <w:sz w:val="40"/>
      <w:szCs w:val="40"/>
      <w:lang w:val="en-US"/>
    </w:rPr>
  </w:style>
  <w:style w:type="character" w:customStyle="1" w:styleId="Kop2Char">
    <w:name w:val="Kop 2 Char"/>
    <w:basedOn w:val="Standaardalinea-lettertype"/>
    <w:link w:val="Kop2"/>
    <w:uiPriority w:val="9"/>
    <w:semiHidden/>
    <w:rsid w:val="00D158AF"/>
    <w:rPr>
      <w:rFonts w:asciiTheme="majorHAnsi" w:eastAsiaTheme="majorEastAsia" w:hAnsiTheme="majorHAnsi" w:cstheme="majorBidi"/>
      <w:color w:val="0F4761" w:themeColor="accent1" w:themeShade="BF"/>
      <w:sz w:val="32"/>
      <w:szCs w:val="32"/>
      <w:lang w:val="en-US"/>
    </w:rPr>
  </w:style>
  <w:style w:type="character" w:customStyle="1" w:styleId="Kop3Char">
    <w:name w:val="Kop 3 Char"/>
    <w:basedOn w:val="Standaardalinea-lettertype"/>
    <w:link w:val="Kop3"/>
    <w:uiPriority w:val="9"/>
    <w:semiHidden/>
    <w:rsid w:val="00D158AF"/>
    <w:rPr>
      <w:rFonts w:eastAsiaTheme="majorEastAsia" w:cstheme="majorBidi"/>
      <w:color w:val="0F4761" w:themeColor="accent1" w:themeShade="BF"/>
      <w:sz w:val="28"/>
      <w:szCs w:val="28"/>
      <w:lang w:val="en-US"/>
    </w:rPr>
  </w:style>
  <w:style w:type="character" w:customStyle="1" w:styleId="Kop4Char">
    <w:name w:val="Kop 4 Char"/>
    <w:basedOn w:val="Standaardalinea-lettertype"/>
    <w:link w:val="Kop4"/>
    <w:uiPriority w:val="9"/>
    <w:semiHidden/>
    <w:rsid w:val="00D158AF"/>
    <w:rPr>
      <w:rFonts w:eastAsiaTheme="majorEastAsia" w:cstheme="majorBidi"/>
      <w:i/>
      <w:iCs/>
      <w:color w:val="0F4761" w:themeColor="accent1" w:themeShade="BF"/>
      <w:lang w:val="en-US"/>
    </w:rPr>
  </w:style>
  <w:style w:type="character" w:customStyle="1" w:styleId="Kop5Char">
    <w:name w:val="Kop 5 Char"/>
    <w:basedOn w:val="Standaardalinea-lettertype"/>
    <w:link w:val="Kop5"/>
    <w:uiPriority w:val="9"/>
    <w:semiHidden/>
    <w:rsid w:val="00D158AF"/>
    <w:rPr>
      <w:rFonts w:eastAsiaTheme="majorEastAsia" w:cstheme="majorBidi"/>
      <w:color w:val="0F4761" w:themeColor="accent1" w:themeShade="BF"/>
      <w:lang w:val="en-US"/>
    </w:rPr>
  </w:style>
  <w:style w:type="character" w:customStyle="1" w:styleId="Kop6Char">
    <w:name w:val="Kop 6 Char"/>
    <w:basedOn w:val="Standaardalinea-lettertype"/>
    <w:link w:val="Kop6"/>
    <w:uiPriority w:val="9"/>
    <w:semiHidden/>
    <w:rsid w:val="00D158AF"/>
    <w:rPr>
      <w:rFonts w:eastAsiaTheme="majorEastAsia" w:cstheme="majorBidi"/>
      <w:i/>
      <w:iCs/>
      <w:color w:val="595959" w:themeColor="text1" w:themeTint="A6"/>
      <w:lang w:val="en-US"/>
    </w:rPr>
  </w:style>
  <w:style w:type="character" w:customStyle="1" w:styleId="Kop7Char">
    <w:name w:val="Kop 7 Char"/>
    <w:basedOn w:val="Standaardalinea-lettertype"/>
    <w:link w:val="Kop7"/>
    <w:uiPriority w:val="9"/>
    <w:semiHidden/>
    <w:rsid w:val="00D158AF"/>
    <w:rPr>
      <w:rFonts w:eastAsiaTheme="majorEastAsia" w:cstheme="majorBidi"/>
      <w:color w:val="595959" w:themeColor="text1" w:themeTint="A6"/>
      <w:lang w:val="en-US"/>
    </w:rPr>
  </w:style>
  <w:style w:type="character" w:customStyle="1" w:styleId="Kop8Char">
    <w:name w:val="Kop 8 Char"/>
    <w:basedOn w:val="Standaardalinea-lettertype"/>
    <w:link w:val="Kop8"/>
    <w:uiPriority w:val="9"/>
    <w:semiHidden/>
    <w:rsid w:val="00D158AF"/>
    <w:rPr>
      <w:rFonts w:eastAsiaTheme="majorEastAsia" w:cstheme="majorBidi"/>
      <w:i/>
      <w:iCs/>
      <w:color w:val="272727" w:themeColor="text1" w:themeTint="D8"/>
      <w:lang w:val="en-US"/>
    </w:rPr>
  </w:style>
  <w:style w:type="character" w:customStyle="1" w:styleId="Kop9Char">
    <w:name w:val="Kop 9 Char"/>
    <w:basedOn w:val="Standaardalinea-lettertype"/>
    <w:link w:val="Kop9"/>
    <w:uiPriority w:val="9"/>
    <w:semiHidden/>
    <w:rsid w:val="00D158AF"/>
    <w:rPr>
      <w:rFonts w:eastAsiaTheme="majorEastAsia" w:cstheme="majorBidi"/>
      <w:color w:val="272727" w:themeColor="text1" w:themeTint="D8"/>
      <w:lang w:val="en-US"/>
    </w:rPr>
  </w:style>
  <w:style w:type="paragraph" w:styleId="Titel">
    <w:name w:val="Title"/>
    <w:basedOn w:val="Standaard"/>
    <w:next w:val="Standaard"/>
    <w:link w:val="TitelChar"/>
    <w:uiPriority w:val="10"/>
    <w:qFormat/>
    <w:rsid w:val="00D158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58AF"/>
    <w:rPr>
      <w:rFonts w:asciiTheme="majorHAnsi" w:eastAsiaTheme="majorEastAsia" w:hAnsiTheme="majorHAnsi" w:cstheme="majorBidi"/>
      <w:spacing w:val="-10"/>
      <w:kern w:val="28"/>
      <w:sz w:val="56"/>
      <w:szCs w:val="56"/>
      <w:lang w:val="en-US"/>
    </w:rPr>
  </w:style>
  <w:style w:type="paragraph" w:styleId="Ondertitel">
    <w:name w:val="Subtitle"/>
    <w:basedOn w:val="Standaard"/>
    <w:next w:val="Standaard"/>
    <w:link w:val="OndertitelChar"/>
    <w:uiPriority w:val="11"/>
    <w:qFormat/>
    <w:rsid w:val="00D158A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58AF"/>
    <w:rPr>
      <w:rFonts w:eastAsiaTheme="majorEastAsia" w:cstheme="majorBidi"/>
      <w:color w:val="595959" w:themeColor="text1" w:themeTint="A6"/>
      <w:spacing w:val="15"/>
      <w:sz w:val="28"/>
      <w:szCs w:val="28"/>
      <w:lang w:val="en-US"/>
    </w:rPr>
  </w:style>
  <w:style w:type="paragraph" w:styleId="Citaat">
    <w:name w:val="Quote"/>
    <w:basedOn w:val="Standaard"/>
    <w:next w:val="Standaard"/>
    <w:link w:val="CitaatChar"/>
    <w:uiPriority w:val="29"/>
    <w:qFormat/>
    <w:rsid w:val="00D158A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58AF"/>
    <w:rPr>
      <w:i/>
      <w:iCs/>
      <w:color w:val="404040" w:themeColor="text1" w:themeTint="BF"/>
      <w:lang w:val="en-US"/>
    </w:rPr>
  </w:style>
  <w:style w:type="paragraph" w:styleId="Lijstalinea">
    <w:name w:val="List Paragraph"/>
    <w:basedOn w:val="Standaard"/>
    <w:uiPriority w:val="34"/>
    <w:qFormat/>
    <w:rsid w:val="00D158AF"/>
    <w:pPr>
      <w:ind w:left="720"/>
      <w:contextualSpacing/>
    </w:pPr>
  </w:style>
  <w:style w:type="character" w:styleId="Intensievebenadrukking">
    <w:name w:val="Intense Emphasis"/>
    <w:basedOn w:val="Standaardalinea-lettertype"/>
    <w:uiPriority w:val="21"/>
    <w:qFormat/>
    <w:rsid w:val="00D158AF"/>
    <w:rPr>
      <w:i/>
      <w:iCs/>
      <w:color w:val="0F4761" w:themeColor="accent1" w:themeShade="BF"/>
    </w:rPr>
  </w:style>
  <w:style w:type="paragraph" w:styleId="Duidelijkcitaat">
    <w:name w:val="Intense Quote"/>
    <w:basedOn w:val="Standaard"/>
    <w:next w:val="Standaard"/>
    <w:link w:val="DuidelijkcitaatChar"/>
    <w:uiPriority w:val="30"/>
    <w:qFormat/>
    <w:rsid w:val="00D158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58AF"/>
    <w:rPr>
      <w:i/>
      <w:iCs/>
      <w:color w:val="0F4761" w:themeColor="accent1" w:themeShade="BF"/>
      <w:lang w:val="en-US"/>
    </w:rPr>
  </w:style>
  <w:style w:type="character" w:styleId="Intensieveverwijzing">
    <w:name w:val="Intense Reference"/>
    <w:basedOn w:val="Standaardalinea-lettertype"/>
    <w:uiPriority w:val="32"/>
    <w:qFormat/>
    <w:rsid w:val="00D158AF"/>
    <w:rPr>
      <w:b/>
      <w:bCs/>
      <w:smallCaps/>
      <w:color w:val="0F4761" w:themeColor="accent1" w:themeShade="BF"/>
      <w:spacing w:val="5"/>
    </w:rPr>
  </w:style>
  <w:style w:type="character" w:styleId="Hyperlink">
    <w:name w:val="Hyperlink"/>
    <w:basedOn w:val="Standaardalinea-lettertype"/>
    <w:uiPriority w:val="99"/>
    <w:unhideWhenUsed/>
    <w:rsid w:val="00D158AF"/>
    <w:rPr>
      <w:color w:val="467886" w:themeColor="hyperlink"/>
      <w:u w:val="single"/>
    </w:rPr>
  </w:style>
  <w:style w:type="character" w:styleId="Onopgelostemelding">
    <w:name w:val="Unresolved Mention"/>
    <w:basedOn w:val="Standaardalinea-lettertype"/>
    <w:uiPriority w:val="99"/>
    <w:semiHidden/>
    <w:unhideWhenUsed/>
    <w:rsid w:val="00D158AF"/>
    <w:rPr>
      <w:color w:val="605E5C"/>
      <w:shd w:val="clear" w:color="auto" w:fill="E1DFDD"/>
    </w:rPr>
  </w:style>
  <w:style w:type="paragraph" w:styleId="Voettekst">
    <w:name w:val="footer"/>
    <w:basedOn w:val="Standaard"/>
    <w:link w:val="VoettekstChar"/>
    <w:uiPriority w:val="99"/>
    <w:unhideWhenUsed/>
    <w:rsid w:val="00614B3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14B3B"/>
    <w:rPr>
      <w:lang w:val="en-US"/>
    </w:rPr>
  </w:style>
  <w:style w:type="paragraph" w:styleId="Revisie">
    <w:name w:val="Revision"/>
    <w:hidden/>
    <w:uiPriority w:val="99"/>
    <w:semiHidden/>
    <w:rsid w:val="003A2328"/>
    <w:pPr>
      <w:spacing w:after="0" w:line="240" w:lineRule="auto"/>
    </w:pPr>
    <w:rPr>
      <w:lang w:val="en-US"/>
    </w:rPr>
  </w:style>
  <w:style w:type="paragraph" w:styleId="Koptekst">
    <w:name w:val="header"/>
    <w:basedOn w:val="Standaard"/>
    <w:link w:val="KoptekstChar"/>
    <w:uiPriority w:val="99"/>
    <w:unhideWhenUsed/>
    <w:rsid w:val="001316C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316C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28957">
      <w:bodyDiv w:val="1"/>
      <w:marLeft w:val="0"/>
      <w:marRight w:val="0"/>
      <w:marTop w:val="0"/>
      <w:marBottom w:val="0"/>
      <w:divBdr>
        <w:top w:val="none" w:sz="0" w:space="0" w:color="auto"/>
        <w:left w:val="none" w:sz="0" w:space="0" w:color="auto"/>
        <w:bottom w:val="none" w:sz="0" w:space="0" w:color="auto"/>
        <w:right w:val="none" w:sz="0" w:space="0" w:color="auto"/>
      </w:divBdr>
    </w:div>
    <w:div w:id="108121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RRS@rvo.n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529</Words>
  <Characters>2910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Ministerie van Economische Zaken en Klimaat</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Kolkman, F.L. (Floor)</dc:creator>
  <cp:keywords/>
  <dc:description/>
  <cp:lastModifiedBy>Kolkman, F.L. (Floor)</cp:lastModifiedBy>
  <cp:revision>2</cp:revision>
  <cp:lastPrinted>2025-11-05T12:51:00Z</cp:lastPrinted>
  <dcterms:created xsi:type="dcterms:W3CDTF">2025-11-10T11:24:00Z</dcterms:created>
  <dcterms:modified xsi:type="dcterms:W3CDTF">2025-11-10T11:24:00Z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49d63581,4cfd24b5,7e6712d5</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