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90386" w14:textId="522C3CDC" w:rsidR="00825731" w:rsidRPr="006E19EC" w:rsidRDefault="006E19EC" w:rsidP="006E19EC">
      <w:pPr>
        <w:pStyle w:val="Titel"/>
        <w:spacing w:before="1320" w:after="0" w:line="360" w:lineRule="exact"/>
        <w:rPr>
          <w:rFonts w:ascii="RijksoverheidSansHeadingTT" w:hAnsi="RijksoverheidSansHeadingTT"/>
          <w:b/>
          <w:bCs/>
          <w:color w:val="007BC7"/>
          <w:sz w:val="36"/>
          <w:szCs w:val="36"/>
          <w:lang w:val="en-US"/>
        </w:rPr>
      </w:pPr>
      <w:r w:rsidRPr="004569A9">
        <w:rPr>
          <w:noProof/>
        </w:rPr>
        <w:drawing>
          <wp:anchor distT="0" distB="0" distL="114300" distR="114300" simplePos="0" relativeHeight="251659264" behindDoc="0" locked="0" layoutInCell="1" allowOverlap="1" wp14:anchorId="1E956009" wp14:editId="5C55598F">
            <wp:simplePos x="0" y="0"/>
            <wp:positionH relativeFrom="margin">
              <wp:posOffset>2061210</wp:posOffset>
            </wp:positionH>
            <wp:positionV relativeFrom="paragraph">
              <wp:posOffset>-638175</wp:posOffset>
            </wp:positionV>
            <wp:extent cx="5400675" cy="1907931"/>
            <wp:effectExtent l="0" t="0" r="0" b="0"/>
            <wp:wrapNone/>
            <wp:docPr id="126099740" name="Afbeelding 1260997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675" cy="1907931"/>
                    </a:xfrm>
                    <a:prstGeom prst="rect">
                      <a:avLst/>
                    </a:prstGeom>
                    <a:noFill/>
                    <a:ln>
                      <a:noFill/>
                    </a:ln>
                  </pic:spPr>
                </pic:pic>
              </a:graphicData>
            </a:graphic>
            <wp14:sizeRelV relativeFrom="margin">
              <wp14:pctHeight>0</wp14:pctHeight>
            </wp14:sizeRelV>
          </wp:anchor>
        </w:drawing>
      </w:r>
      <w:r w:rsidR="00D61AD5">
        <w:br/>
      </w:r>
      <w:r w:rsidR="2E381624" w:rsidRPr="2F42B90D">
        <w:rPr>
          <w:rFonts w:ascii="RijksoverheidSansHeadingTT" w:hAnsi="RijksoverheidSansHeadingTT"/>
          <w:b/>
          <w:bCs/>
          <w:color w:val="007BC7"/>
          <w:sz w:val="36"/>
          <w:szCs w:val="36"/>
          <w:lang w:val="en-US"/>
        </w:rPr>
        <w:t>Annex I</w:t>
      </w:r>
      <w:r w:rsidR="7E5820CD" w:rsidRPr="2F42B90D">
        <w:rPr>
          <w:rFonts w:ascii="RijksoverheidSansHeadingTT" w:hAnsi="RijksoverheidSansHeadingTT"/>
          <w:b/>
          <w:bCs/>
          <w:color w:val="007BC7"/>
          <w:sz w:val="36"/>
          <w:szCs w:val="36"/>
          <w:lang w:val="en-US"/>
        </w:rPr>
        <w:t xml:space="preserve">II </w:t>
      </w:r>
      <w:r w:rsidR="6996A930" w:rsidRPr="2F42B90D">
        <w:rPr>
          <w:rFonts w:ascii="RijksoverheidSansHeadingTT" w:hAnsi="RijksoverheidSansHeadingTT"/>
          <w:b/>
          <w:bCs/>
          <w:color w:val="007BC7"/>
          <w:sz w:val="36"/>
          <w:szCs w:val="36"/>
          <w:lang w:val="en-US"/>
        </w:rPr>
        <w:t xml:space="preserve">– Impact Clusters </w:t>
      </w:r>
      <w:r w:rsidR="64C996D1" w:rsidRPr="2F42B90D">
        <w:rPr>
          <w:rFonts w:ascii="RijksoverheidSansHeadingTT" w:hAnsi="RijksoverheidSansHeadingTT"/>
          <w:b/>
          <w:bCs/>
          <w:color w:val="007BC7"/>
          <w:sz w:val="36"/>
          <w:szCs w:val="36"/>
          <w:lang w:val="en-US"/>
        </w:rPr>
        <w:t>i</w:t>
      </w:r>
      <w:r w:rsidR="6996A930" w:rsidRPr="2F42B90D">
        <w:rPr>
          <w:rFonts w:ascii="RijksoverheidSansHeadingTT" w:hAnsi="RijksoverheidSansHeadingTT"/>
          <w:b/>
          <w:bCs/>
          <w:color w:val="007BC7"/>
          <w:sz w:val="36"/>
          <w:szCs w:val="36"/>
          <w:lang w:val="en-US"/>
        </w:rPr>
        <w:t>ndicators</w:t>
      </w:r>
    </w:p>
    <w:p w14:paraId="527F5F26" w14:textId="3F48340E" w:rsidR="00D61AD5" w:rsidRPr="00E40B30" w:rsidRDefault="3EEA218F" w:rsidP="00E40B30">
      <w:pPr>
        <w:pStyle w:val="Titel"/>
        <w:spacing w:before="240" w:after="120" w:line="240" w:lineRule="exact"/>
        <w:rPr>
          <w:rFonts w:ascii="Verdana" w:hAnsi="Verdana"/>
          <w:color w:val="000000" w:themeColor="text1"/>
          <w:sz w:val="18"/>
          <w:szCs w:val="18"/>
          <w:lang w:val="en-US"/>
        </w:rPr>
      </w:pPr>
      <w:r w:rsidRPr="0070068A">
        <w:rPr>
          <w:rFonts w:ascii="Verdana" w:hAnsi="Verdana"/>
          <w:b/>
          <w:bCs/>
          <w:color w:val="000000" w:themeColor="text1"/>
          <w:sz w:val="18"/>
          <w:szCs w:val="18"/>
          <w:lang w:val="en-US"/>
        </w:rPr>
        <w:t>Instructions:</w:t>
      </w:r>
      <w:r w:rsidRPr="229F99CC">
        <w:rPr>
          <w:rFonts w:ascii="Verdana" w:hAnsi="Verdana"/>
          <w:color w:val="000000" w:themeColor="text1"/>
          <w:sz w:val="18"/>
          <w:szCs w:val="18"/>
          <w:lang w:val="en-US"/>
        </w:rPr>
        <w:t xml:space="preserve"> Please </w:t>
      </w:r>
      <w:r w:rsidR="1D20C150" w:rsidRPr="229F99CC">
        <w:rPr>
          <w:rFonts w:ascii="Verdana" w:hAnsi="Verdana"/>
          <w:color w:val="000000" w:themeColor="text1"/>
          <w:sz w:val="18"/>
          <w:szCs w:val="18"/>
          <w:lang w:val="en-US"/>
        </w:rPr>
        <w:t>describe</w:t>
      </w:r>
      <w:r w:rsidRPr="229F99CC">
        <w:rPr>
          <w:rFonts w:ascii="Verdana" w:hAnsi="Verdana"/>
          <w:color w:val="000000" w:themeColor="text1"/>
          <w:sz w:val="18"/>
          <w:szCs w:val="18"/>
          <w:lang w:val="en-US"/>
        </w:rPr>
        <w:t xml:space="preserve"> the applicable indicators, considering the project's context and objectives. If an indicator is not applicable, please explain why. It is mandatory to report on applicable indicators.</w:t>
      </w:r>
    </w:p>
    <w:tbl>
      <w:tblPr>
        <w:tblStyle w:val="Tabelrasterlicht"/>
        <w:tblW w:w="15730" w:type="dxa"/>
        <w:tblLayout w:type="fixed"/>
        <w:tblLook w:val="04A0" w:firstRow="1" w:lastRow="0" w:firstColumn="1" w:lastColumn="0" w:noHBand="0" w:noVBand="1"/>
      </w:tblPr>
      <w:tblGrid>
        <w:gridCol w:w="1950"/>
        <w:gridCol w:w="1873"/>
        <w:gridCol w:w="1701"/>
        <w:gridCol w:w="1134"/>
        <w:gridCol w:w="1134"/>
        <w:gridCol w:w="4449"/>
        <w:gridCol w:w="1646"/>
        <w:gridCol w:w="1843"/>
      </w:tblGrid>
      <w:tr w:rsidR="00860F5D" w:rsidRPr="006E19EC" w14:paraId="629C8C89" w14:textId="77777777" w:rsidTr="005A0D56">
        <w:trPr>
          <w:trHeight w:hRule="exact" w:val="964"/>
        </w:trPr>
        <w:tc>
          <w:tcPr>
            <w:tcW w:w="1950" w:type="dxa"/>
            <w:shd w:val="clear" w:color="auto" w:fill="007BC7"/>
          </w:tcPr>
          <w:p w14:paraId="569D0BC3" w14:textId="30FE8AA4" w:rsidR="00EF684E" w:rsidRPr="006E19EC" w:rsidRDefault="041AB48A" w:rsidP="229F99CC">
            <w:pPr>
              <w:spacing w:after="0" w:line="180" w:lineRule="exact"/>
              <w:rPr>
                <w:rFonts w:ascii="Verdana" w:hAnsi="Verdana"/>
                <w:b/>
                <w:bCs/>
                <w:color w:val="FFFFFF" w:themeColor="background1"/>
                <w:sz w:val="18"/>
                <w:szCs w:val="18"/>
                <w:lang w:val="nl-NL"/>
              </w:rPr>
            </w:pPr>
            <w:r w:rsidRPr="006E19EC">
              <w:rPr>
                <w:rFonts w:ascii="Verdana" w:hAnsi="Verdana"/>
                <w:b/>
                <w:bCs/>
                <w:color w:val="FFFFFF" w:themeColor="background1"/>
                <w:sz w:val="18"/>
                <w:szCs w:val="18"/>
                <w:lang w:val="nl-NL"/>
              </w:rPr>
              <w:t xml:space="preserve">PSD </w:t>
            </w:r>
            <w:r w:rsidR="41767C06" w:rsidRPr="006E19EC">
              <w:rPr>
                <w:rFonts w:ascii="Verdana" w:hAnsi="Verdana"/>
                <w:b/>
                <w:bCs/>
                <w:color w:val="FFFFFF" w:themeColor="background1"/>
                <w:sz w:val="18"/>
                <w:szCs w:val="18"/>
                <w:lang w:val="nl-NL"/>
              </w:rPr>
              <w:t>i</w:t>
            </w:r>
            <w:r w:rsidRPr="006E19EC">
              <w:rPr>
                <w:rFonts w:ascii="Verdana" w:hAnsi="Verdana"/>
                <w:b/>
                <w:bCs/>
                <w:color w:val="FFFFFF" w:themeColor="background1"/>
                <w:sz w:val="18"/>
                <w:szCs w:val="18"/>
                <w:lang w:val="nl-NL"/>
              </w:rPr>
              <w:t>ndicators</w:t>
            </w:r>
          </w:p>
        </w:tc>
        <w:tc>
          <w:tcPr>
            <w:tcW w:w="1873" w:type="dxa"/>
            <w:shd w:val="clear" w:color="auto" w:fill="007BC7"/>
          </w:tcPr>
          <w:p w14:paraId="61D92D1A" w14:textId="6A53ED66" w:rsidR="00EF684E" w:rsidRPr="006E19EC" w:rsidRDefault="5E090B70" w:rsidP="229F99CC">
            <w:pPr>
              <w:spacing w:after="0" w:line="180" w:lineRule="exact"/>
              <w:rPr>
                <w:rFonts w:ascii="Verdana" w:hAnsi="Verdana"/>
                <w:b/>
                <w:bCs/>
                <w:color w:val="FFFFFF" w:themeColor="background1"/>
                <w:sz w:val="18"/>
                <w:szCs w:val="18"/>
                <w:lang w:val="nl-NL"/>
              </w:rPr>
            </w:pPr>
            <w:r w:rsidRPr="006E19EC">
              <w:rPr>
                <w:rFonts w:ascii="Verdana" w:hAnsi="Verdana"/>
                <w:b/>
                <w:bCs/>
                <w:color w:val="FFFFFF" w:themeColor="background1"/>
                <w:sz w:val="18"/>
                <w:szCs w:val="18"/>
                <w:lang w:val="nl-NL"/>
              </w:rPr>
              <w:t>Disaggregation</w:t>
            </w:r>
          </w:p>
        </w:tc>
        <w:tc>
          <w:tcPr>
            <w:tcW w:w="1701" w:type="dxa"/>
            <w:shd w:val="clear" w:color="auto" w:fill="007BC7"/>
          </w:tcPr>
          <w:p w14:paraId="63A4228C" w14:textId="3A5A8697" w:rsidR="00EF684E" w:rsidRPr="006E19EC" w:rsidRDefault="5E090B70" w:rsidP="229F99CC">
            <w:pPr>
              <w:spacing w:after="0" w:line="180" w:lineRule="exact"/>
              <w:rPr>
                <w:rFonts w:ascii="Verdana" w:hAnsi="Verdana"/>
                <w:b/>
                <w:bCs/>
                <w:color w:val="FFFFFF" w:themeColor="background1"/>
                <w:sz w:val="18"/>
                <w:szCs w:val="18"/>
                <w:lang w:val="nl-NL"/>
              </w:rPr>
            </w:pPr>
            <w:r w:rsidRPr="006E19EC">
              <w:rPr>
                <w:rFonts w:ascii="Verdana" w:hAnsi="Verdana"/>
                <w:b/>
                <w:bCs/>
                <w:color w:val="FFFFFF" w:themeColor="background1"/>
                <w:sz w:val="18"/>
                <w:szCs w:val="18"/>
                <w:lang w:val="nl-NL"/>
              </w:rPr>
              <w:t>Measure</w:t>
            </w:r>
            <w:r w:rsidR="5320C564" w:rsidRPr="006E19EC">
              <w:rPr>
                <w:rFonts w:ascii="Verdana" w:hAnsi="Verdana"/>
                <w:b/>
                <w:bCs/>
                <w:color w:val="FFFFFF" w:themeColor="background1"/>
                <w:sz w:val="18"/>
                <w:szCs w:val="18"/>
                <w:lang w:val="nl-NL"/>
              </w:rPr>
              <w:t>ment</w:t>
            </w:r>
          </w:p>
        </w:tc>
        <w:tc>
          <w:tcPr>
            <w:tcW w:w="1134" w:type="dxa"/>
            <w:shd w:val="clear" w:color="auto" w:fill="007BC7"/>
          </w:tcPr>
          <w:p w14:paraId="2ACE487A" w14:textId="6BFA50AE" w:rsidR="00EF684E" w:rsidRPr="006E19EC" w:rsidRDefault="5E090B70" w:rsidP="00B5144A">
            <w:pPr>
              <w:spacing w:after="0" w:line="180" w:lineRule="exact"/>
              <w:rPr>
                <w:rFonts w:ascii="Verdana" w:hAnsi="Verdana"/>
                <w:b/>
                <w:bCs/>
                <w:color w:val="FFFFFF" w:themeColor="background1"/>
                <w:sz w:val="18"/>
                <w:szCs w:val="18"/>
              </w:rPr>
            </w:pPr>
            <w:r w:rsidRPr="006E19EC">
              <w:rPr>
                <w:rFonts w:ascii="Verdana" w:hAnsi="Verdana"/>
                <w:b/>
                <w:bCs/>
                <w:color w:val="FFFFFF" w:themeColor="background1"/>
                <w:sz w:val="18"/>
                <w:szCs w:val="18"/>
              </w:rPr>
              <w:t>Target</w:t>
            </w:r>
          </w:p>
        </w:tc>
        <w:tc>
          <w:tcPr>
            <w:tcW w:w="1134" w:type="dxa"/>
            <w:shd w:val="clear" w:color="auto" w:fill="007BC7"/>
          </w:tcPr>
          <w:p w14:paraId="46BF2E36" w14:textId="7CF61D91" w:rsidR="00EF684E" w:rsidRPr="006E19EC" w:rsidRDefault="5E090B70" w:rsidP="229F99CC">
            <w:pPr>
              <w:spacing w:after="0" w:line="180" w:lineRule="exact"/>
              <w:rPr>
                <w:rFonts w:ascii="Verdana" w:hAnsi="Verdana"/>
                <w:b/>
                <w:bCs/>
                <w:color w:val="FFFFFF" w:themeColor="background1"/>
                <w:sz w:val="18"/>
                <w:szCs w:val="18"/>
                <w:lang w:val="nl-NL"/>
              </w:rPr>
            </w:pPr>
            <w:r w:rsidRPr="006E19EC">
              <w:rPr>
                <w:rFonts w:ascii="Verdana" w:hAnsi="Verdana"/>
                <w:b/>
                <w:bCs/>
                <w:color w:val="FFFFFF" w:themeColor="background1"/>
                <w:sz w:val="18"/>
                <w:szCs w:val="18"/>
                <w:lang w:val="nl-NL"/>
              </w:rPr>
              <w:t>Result</w:t>
            </w:r>
          </w:p>
        </w:tc>
        <w:tc>
          <w:tcPr>
            <w:tcW w:w="4449" w:type="dxa"/>
            <w:shd w:val="clear" w:color="auto" w:fill="007BC7"/>
          </w:tcPr>
          <w:p w14:paraId="2F5CA8CE" w14:textId="08D93558" w:rsidR="00EF684E" w:rsidRPr="006E19EC" w:rsidRDefault="5E090B70" w:rsidP="229F99CC">
            <w:pPr>
              <w:spacing w:after="0" w:line="180" w:lineRule="exact"/>
              <w:rPr>
                <w:rFonts w:ascii="Verdana" w:hAnsi="Verdana"/>
                <w:b/>
                <w:bCs/>
                <w:color w:val="FFFFFF" w:themeColor="background1"/>
                <w:sz w:val="18"/>
                <w:szCs w:val="18"/>
                <w:lang w:val="nl-NL"/>
              </w:rPr>
            </w:pPr>
            <w:r w:rsidRPr="006E19EC">
              <w:rPr>
                <w:rFonts w:ascii="Verdana" w:hAnsi="Verdana"/>
                <w:b/>
                <w:bCs/>
                <w:color w:val="FFFFFF" w:themeColor="background1"/>
                <w:sz w:val="18"/>
                <w:szCs w:val="18"/>
                <w:lang w:val="nl-NL"/>
              </w:rPr>
              <w:t>Explanation</w:t>
            </w:r>
          </w:p>
        </w:tc>
        <w:tc>
          <w:tcPr>
            <w:tcW w:w="1646" w:type="dxa"/>
            <w:tcBorders>
              <w:bottom w:val="single" w:sz="4" w:space="0" w:color="BFBFBF" w:themeColor="background1" w:themeShade="BF"/>
            </w:tcBorders>
            <w:shd w:val="clear" w:color="auto" w:fill="007BC7"/>
          </w:tcPr>
          <w:p w14:paraId="10C4C2DA" w14:textId="0FE03994" w:rsidR="00EF684E" w:rsidRPr="006E19EC" w:rsidRDefault="5E090B70" w:rsidP="229F99CC">
            <w:pPr>
              <w:spacing w:after="0" w:line="180" w:lineRule="exact"/>
              <w:rPr>
                <w:rFonts w:ascii="Verdana" w:hAnsi="Verdana"/>
                <w:b/>
                <w:bCs/>
                <w:color w:val="FFFFFF" w:themeColor="background1"/>
                <w:sz w:val="18"/>
                <w:szCs w:val="18"/>
                <w:lang w:val="nl-NL"/>
              </w:rPr>
            </w:pPr>
            <w:r w:rsidRPr="006E19EC">
              <w:rPr>
                <w:rFonts w:ascii="Verdana" w:hAnsi="Verdana"/>
                <w:b/>
                <w:bCs/>
                <w:color w:val="FFFFFF" w:themeColor="background1"/>
                <w:sz w:val="18"/>
                <w:szCs w:val="18"/>
                <w:lang w:val="nl-NL"/>
              </w:rPr>
              <w:t>Theme</w:t>
            </w:r>
          </w:p>
        </w:tc>
        <w:tc>
          <w:tcPr>
            <w:tcW w:w="1843" w:type="dxa"/>
            <w:shd w:val="clear" w:color="auto" w:fill="007BC7"/>
          </w:tcPr>
          <w:p w14:paraId="6773DAC4" w14:textId="280D969E" w:rsidR="00EF684E" w:rsidRPr="006E19EC" w:rsidRDefault="5E090B70" w:rsidP="00B5144A">
            <w:pPr>
              <w:spacing w:after="0" w:line="180" w:lineRule="exact"/>
              <w:rPr>
                <w:rFonts w:ascii="Verdana" w:hAnsi="Verdana"/>
                <w:b/>
                <w:bCs/>
                <w:color w:val="FFFFFF" w:themeColor="background1"/>
                <w:sz w:val="18"/>
                <w:szCs w:val="18"/>
                <w:lang w:val="en-US"/>
              </w:rPr>
            </w:pPr>
            <w:r w:rsidRPr="006E19EC">
              <w:rPr>
                <w:rFonts w:ascii="Verdana" w:hAnsi="Verdana"/>
                <w:b/>
                <w:bCs/>
                <w:color w:val="FFFFFF" w:themeColor="background1"/>
                <w:sz w:val="18"/>
                <w:szCs w:val="18"/>
              </w:rPr>
              <w:t>Please explain whether the indicator is applicable or not</w:t>
            </w:r>
          </w:p>
        </w:tc>
      </w:tr>
      <w:tr w:rsidR="00B5144A" w:rsidRPr="006E19EC" w14:paraId="0F5EAC3A" w14:textId="77777777" w:rsidTr="005A0D56">
        <w:trPr>
          <w:trHeight w:val="300"/>
        </w:trPr>
        <w:tc>
          <w:tcPr>
            <w:tcW w:w="1950" w:type="dxa"/>
            <w:shd w:val="clear" w:color="auto" w:fill="EEF7FB"/>
          </w:tcPr>
          <w:p w14:paraId="2AC83CDC" w14:textId="20E52A69" w:rsidR="00860F5D" w:rsidRPr="006E19EC" w:rsidRDefault="0D9D59DA"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The number of direct jobs individually supported in MSMEs (in FTE).</w:t>
            </w:r>
          </w:p>
        </w:tc>
        <w:tc>
          <w:tcPr>
            <w:tcW w:w="1873" w:type="dxa"/>
            <w:shd w:val="clear" w:color="auto" w:fill="EEF7FB"/>
          </w:tcPr>
          <w:p w14:paraId="5ED39CA3" w14:textId="3F48A50D" w:rsidR="00860F5D" w:rsidRPr="006E19EC" w:rsidRDefault="09CC70A9"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Women,</w:t>
            </w:r>
            <w:r w:rsidR="00860F5D" w:rsidRPr="006E19EC">
              <w:rPr>
                <w:rFonts w:ascii="Verdana" w:hAnsi="Verdana"/>
                <w:sz w:val="18"/>
                <w:szCs w:val="18"/>
              </w:rPr>
              <w:br/>
            </w:r>
            <w:r w:rsidR="608B5837" w:rsidRPr="006E19EC">
              <w:rPr>
                <w:rFonts w:ascii="Verdana" w:hAnsi="Verdana" w:cs="Calibri"/>
                <w:color w:val="000000" w:themeColor="text1"/>
                <w:sz w:val="18"/>
                <w:szCs w:val="18"/>
                <w:lang w:val="nl-NL"/>
              </w:rPr>
              <w:t>y</w:t>
            </w:r>
            <w:r w:rsidRPr="006E19EC">
              <w:rPr>
                <w:rFonts w:ascii="Verdana" w:hAnsi="Verdana" w:cs="Calibri"/>
                <w:color w:val="000000" w:themeColor="text1"/>
                <w:sz w:val="18"/>
                <w:szCs w:val="18"/>
                <w:lang w:val="nl-NL"/>
              </w:rPr>
              <w:t xml:space="preserve">outh (18-35), </w:t>
            </w:r>
            <w:r w:rsidR="00860F5D" w:rsidRPr="006E19EC">
              <w:rPr>
                <w:rFonts w:ascii="Verdana" w:hAnsi="Verdana"/>
                <w:sz w:val="18"/>
                <w:szCs w:val="18"/>
              </w:rPr>
              <w:br/>
            </w:r>
            <w:r w:rsidR="7560D027" w:rsidRPr="006E19EC">
              <w:rPr>
                <w:rFonts w:ascii="Verdana" w:hAnsi="Verdana" w:cs="Calibri"/>
                <w:color w:val="000000" w:themeColor="text1"/>
                <w:sz w:val="18"/>
                <w:szCs w:val="18"/>
                <w:lang w:val="nl-NL"/>
              </w:rPr>
              <w:t>t</w:t>
            </w:r>
            <w:r w:rsidRPr="006E19EC">
              <w:rPr>
                <w:rFonts w:ascii="Verdana" w:hAnsi="Verdana" w:cs="Calibri"/>
                <w:color w:val="000000" w:themeColor="text1"/>
                <w:sz w:val="18"/>
                <w:szCs w:val="18"/>
                <w:lang w:val="nl-NL"/>
              </w:rPr>
              <w:t>otal</w:t>
            </w:r>
          </w:p>
        </w:tc>
        <w:tc>
          <w:tcPr>
            <w:tcW w:w="1701" w:type="dxa"/>
            <w:shd w:val="clear" w:color="auto" w:fill="EEF7FB"/>
          </w:tcPr>
          <w:p w14:paraId="772CF573" w14:textId="568E433A" w:rsidR="00860F5D" w:rsidRPr="006E19EC" w:rsidRDefault="51BF60CB"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Quantitative</w:t>
            </w:r>
          </w:p>
        </w:tc>
        <w:tc>
          <w:tcPr>
            <w:tcW w:w="1134" w:type="dxa"/>
            <w:shd w:val="clear" w:color="auto" w:fill="EEF7FB"/>
          </w:tcPr>
          <w:p w14:paraId="12D12D9F" w14:textId="721A99A4" w:rsidR="00860F5D" w:rsidRPr="006E19EC" w:rsidRDefault="00860F5D" w:rsidP="00860F5D">
            <w:pPr>
              <w:spacing w:after="0" w:line="200" w:lineRule="exact"/>
              <w:rPr>
                <w:rFonts w:ascii="Verdana" w:hAnsi="Verdana"/>
                <w:sz w:val="18"/>
                <w:szCs w:val="18"/>
                <w:lang w:val="en-US"/>
              </w:rPr>
            </w:pPr>
          </w:p>
        </w:tc>
        <w:tc>
          <w:tcPr>
            <w:tcW w:w="1134" w:type="dxa"/>
            <w:shd w:val="clear" w:color="auto" w:fill="EEF7FB"/>
          </w:tcPr>
          <w:p w14:paraId="7DCFF583" w14:textId="6F4B4B8A"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 </w:t>
            </w:r>
          </w:p>
        </w:tc>
        <w:tc>
          <w:tcPr>
            <w:tcW w:w="4449" w:type="dxa"/>
            <w:tcBorders>
              <w:right w:val="single" w:sz="4" w:space="0" w:color="BFBFBF" w:themeColor="background1" w:themeShade="BF"/>
            </w:tcBorders>
            <w:shd w:val="clear" w:color="auto" w:fill="EEF7FB"/>
          </w:tcPr>
          <w:p w14:paraId="2E0AB11B" w14:textId="7088452A" w:rsidR="00860F5D" w:rsidRPr="006E19EC" w:rsidRDefault="02DE555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lang w:val="en-US"/>
              </w:rPr>
              <w:t xml:space="preserve">The number of FTE working at the local cluster MSME partner is the number of jobs within the local cluster partner directly supported through the Impact Clusters project. This indicator aims to </w:t>
            </w:r>
            <w:r w:rsidR="5AF4B7CE" w:rsidRPr="006E19EC">
              <w:rPr>
                <w:rFonts w:ascii="Verdana" w:hAnsi="Verdana" w:cs="Calibri"/>
                <w:color w:val="000000" w:themeColor="text1"/>
                <w:sz w:val="18"/>
                <w:szCs w:val="18"/>
                <w:lang w:val="en-US"/>
              </w:rPr>
              <w:t>track</w:t>
            </w:r>
            <w:r w:rsidRPr="006E19EC">
              <w:rPr>
                <w:rFonts w:ascii="Verdana" w:hAnsi="Verdana" w:cs="Calibri"/>
                <w:color w:val="000000" w:themeColor="text1"/>
                <w:sz w:val="18"/>
                <w:szCs w:val="18"/>
                <w:lang w:val="en-US"/>
              </w:rPr>
              <w:t xml:space="preserve"> the number of people who can provide for themselves through a decent job in an enterprise supported by Impact Clusters. Only fill out this indicator if the local partner is an MSME.</w:t>
            </w:r>
            <w:r w:rsidR="00860F5D" w:rsidRPr="006E19EC">
              <w:rPr>
                <w:rFonts w:ascii="Verdana" w:hAnsi="Verdana"/>
                <w:sz w:val="18"/>
                <w:szCs w:val="18"/>
              </w:rPr>
              <w:br/>
            </w:r>
            <w:r w:rsidR="00860F5D" w:rsidRPr="006E19EC">
              <w:rPr>
                <w:rFonts w:ascii="Verdana" w:hAnsi="Verdana"/>
                <w:sz w:val="18"/>
                <w:szCs w:val="18"/>
              </w:rPr>
              <w:br/>
            </w:r>
            <w:r w:rsidRPr="006E19EC">
              <w:rPr>
                <w:rFonts w:ascii="Verdana" w:hAnsi="Verdana" w:cs="Calibri"/>
                <w:color w:val="000000" w:themeColor="text1"/>
                <w:sz w:val="18"/>
                <w:szCs w:val="18"/>
                <w:lang w:val="en-US"/>
              </w:rPr>
              <w:t>This indicator includes full-time equivalent (FTE) jobs. It concerns seasonal, contractual part-time employees</w:t>
            </w:r>
            <w:r w:rsidR="4194F43E" w:rsidRPr="006E19EC">
              <w:rPr>
                <w:rFonts w:ascii="Verdana" w:hAnsi="Verdana" w:cs="Calibri"/>
                <w:color w:val="000000" w:themeColor="text1"/>
                <w:sz w:val="18"/>
                <w:szCs w:val="18"/>
                <w:lang w:val="en-US"/>
              </w:rPr>
              <w:t>,</w:t>
            </w:r>
            <w:r w:rsidRPr="006E19EC">
              <w:rPr>
                <w:rFonts w:ascii="Verdana" w:hAnsi="Verdana" w:cs="Calibri"/>
                <w:color w:val="000000" w:themeColor="text1"/>
                <w:sz w:val="18"/>
                <w:szCs w:val="18"/>
                <w:lang w:val="en-US"/>
              </w:rPr>
              <w:t xml:space="preserve"> and informal employment in the target country. Part-time and informal jobs are converted into full-time equivalent jobs pro-rata. The conversion is based on the local definition of a working week. Seasonal or short-term jobs are prorated based on the part of the reporting period that was worked. For example, a full-time job during the harvest season of 3 months would equal a 0.25 FTE job for the reporting period of one year. If the information is not available, the guideline is </w:t>
            </w:r>
            <w:r w:rsidR="1DBE9F03" w:rsidRPr="006E19EC">
              <w:rPr>
                <w:rFonts w:ascii="Verdana" w:hAnsi="Verdana" w:cs="Calibri"/>
                <w:color w:val="000000" w:themeColor="text1"/>
                <w:sz w:val="18"/>
                <w:szCs w:val="18"/>
                <w:lang w:val="en-US"/>
              </w:rPr>
              <w:t xml:space="preserve">that </w:t>
            </w:r>
            <w:r w:rsidRPr="006E19EC">
              <w:rPr>
                <w:rFonts w:ascii="Verdana" w:hAnsi="Verdana" w:cs="Calibri"/>
                <w:color w:val="000000" w:themeColor="text1"/>
                <w:sz w:val="18"/>
                <w:szCs w:val="18"/>
                <w:lang w:val="en-US"/>
              </w:rPr>
              <w:t>2 part-time jobs equal 1 full-time job.</w:t>
            </w:r>
          </w:p>
        </w:tc>
        <w:tc>
          <w:tcPr>
            <w:tcW w:w="164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EEF7FB"/>
            <w:vAlign w:val="center"/>
          </w:tcPr>
          <w:p w14:paraId="6B391EDD" w14:textId="6A3D9C31" w:rsidR="00860F5D" w:rsidRPr="006E19EC" w:rsidRDefault="00860F5D" w:rsidP="00860F5D">
            <w:pPr>
              <w:spacing w:after="0" w:line="200" w:lineRule="exact"/>
              <w:rPr>
                <w:rFonts w:ascii="Verdana" w:hAnsi="Verdana"/>
                <w:sz w:val="18"/>
                <w:szCs w:val="18"/>
                <w:lang w:val="en-US"/>
              </w:rPr>
            </w:pPr>
          </w:p>
        </w:tc>
        <w:tc>
          <w:tcPr>
            <w:tcW w:w="1843" w:type="dxa"/>
            <w:tcBorders>
              <w:left w:val="single" w:sz="4" w:space="0" w:color="BFBFBF" w:themeColor="background1" w:themeShade="BF"/>
            </w:tcBorders>
            <w:shd w:val="clear" w:color="auto" w:fill="EEF7FB"/>
          </w:tcPr>
          <w:p w14:paraId="0961FE1F" w14:textId="77777777" w:rsidR="00860F5D" w:rsidRPr="006E19EC" w:rsidRDefault="00860F5D" w:rsidP="00860F5D">
            <w:pPr>
              <w:spacing w:after="0" w:line="200" w:lineRule="exact"/>
              <w:rPr>
                <w:rFonts w:ascii="Verdana" w:hAnsi="Verdana"/>
                <w:sz w:val="18"/>
                <w:szCs w:val="18"/>
                <w:lang w:val="en-US"/>
              </w:rPr>
            </w:pPr>
          </w:p>
        </w:tc>
      </w:tr>
      <w:tr w:rsidR="00B5144A" w:rsidRPr="006E19EC" w14:paraId="08FCD48A" w14:textId="77777777" w:rsidTr="005A0D56">
        <w:trPr>
          <w:trHeight w:val="1134"/>
        </w:trPr>
        <w:tc>
          <w:tcPr>
            <w:tcW w:w="1950" w:type="dxa"/>
            <w:shd w:val="clear" w:color="auto" w:fill="EEF7FB"/>
          </w:tcPr>
          <w:p w14:paraId="3E01F30E" w14:textId="689540BF"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The number of people trained or skills developed. </w:t>
            </w:r>
          </w:p>
        </w:tc>
        <w:tc>
          <w:tcPr>
            <w:tcW w:w="1873" w:type="dxa"/>
            <w:shd w:val="clear" w:color="auto" w:fill="EEF7FB"/>
          </w:tcPr>
          <w:p w14:paraId="6BD62C96" w14:textId="1F03730E" w:rsidR="00860F5D" w:rsidRPr="006E19EC" w:rsidRDefault="09CC70A9"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 xml:space="preserve">Women, </w:t>
            </w:r>
            <w:r w:rsidR="00860F5D" w:rsidRPr="006E19EC">
              <w:rPr>
                <w:rFonts w:ascii="Verdana" w:hAnsi="Verdana"/>
                <w:sz w:val="18"/>
                <w:szCs w:val="18"/>
              </w:rPr>
              <w:br/>
            </w:r>
            <w:r w:rsidR="677221EA" w:rsidRPr="006E19EC">
              <w:rPr>
                <w:rFonts w:ascii="Verdana" w:hAnsi="Verdana" w:cs="Calibri"/>
                <w:color w:val="000000" w:themeColor="text1"/>
                <w:sz w:val="18"/>
                <w:szCs w:val="18"/>
                <w:lang w:val="nl-NL"/>
              </w:rPr>
              <w:t>y</w:t>
            </w:r>
            <w:r w:rsidRPr="006E19EC">
              <w:rPr>
                <w:rFonts w:ascii="Verdana" w:hAnsi="Verdana" w:cs="Calibri"/>
                <w:color w:val="000000" w:themeColor="text1"/>
                <w:sz w:val="18"/>
                <w:szCs w:val="18"/>
                <w:lang w:val="nl-NL"/>
              </w:rPr>
              <w:t xml:space="preserve">outh (18-35), </w:t>
            </w:r>
            <w:r w:rsidR="00860F5D" w:rsidRPr="006E19EC">
              <w:rPr>
                <w:rFonts w:ascii="Verdana" w:hAnsi="Verdana"/>
                <w:sz w:val="18"/>
                <w:szCs w:val="18"/>
              </w:rPr>
              <w:br/>
            </w:r>
            <w:r w:rsidR="10EC1DC1" w:rsidRPr="006E19EC">
              <w:rPr>
                <w:rFonts w:ascii="Verdana" w:hAnsi="Verdana" w:cs="Calibri"/>
                <w:color w:val="000000" w:themeColor="text1"/>
                <w:sz w:val="18"/>
                <w:szCs w:val="18"/>
                <w:lang w:val="nl-NL"/>
              </w:rPr>
              <w:t>t</w:t>
            </w:r>
            <w:r w:rsidRPr="006E19EC">
              <w:rPr>
                <w:rFonts w:ascii="Verdana" w:hAnsi="Verdana" w:cs="Calibri"/>
                <w:color w:val="000000" w:themeColor="text1"/>
                <w:sz w:val="18"/>
                <w:szCs w:val="18"/>
                <w:lang w:val="nl-NL"/>
              </w:rPr>
              <w:t>otal</w:t>
            </w:r>
          </w:p>
        </w:tc>
        <w:tc>
          <w:tcPr>
            <w:tcW w:w="1701" w:type="dxa"/>
            <w:shd w:val="clear" w:color="auto" w:fill="EEF7FB"/>
          </w:tcPr>
          <w:p w14:paraId="127961CB" w14:textId="53E210AF" w:rsidR="00860F5D" w:rsidRPr="006E19EC" w:rsidRDefault="51BF60CB"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Quantitative</w:t>
            </w:r>
          </w:p>
        </w:tc>
        <w:tc>
          <w:tcPr>
            <w:tcW w:w="1134" w:type="dxa"/>
            <w:shd w:val="clear" w:color="auto" w:fill="EEF7FB"/>
          </w:tcPr>
          <w:p w14:paraId="55A9606B" w14:textId="4F20B52F" w:rsidR="00860F5D" w:rsidRPr="006E19EC" w:rsidRDefault="00860F5D" w:rsidP="00860F5D">
            <w:pPr>
              <w:spacing w:after="0" w:line="200" w:lineRule="exact"/>
              <w:rPr>
                <w:rFonts w:ascii="Verdana" w:hAnsi="Verdana"/>
                <w:sz w:val="18"/>
                <w:szCs w:val="18"/>
                <w:lang w:val="en-US"/>
              </w:rPr>
            </w:pPr>
          </w:p>
        </w:tc>
        <w:tc>
          <w:tcPr>
            <w:tcW w:w="1134" w:type="dxa"/>
            <w:shd w:val="clear" w:color="auto" w:fill="EEF7FB"/>
          </w:tcPr>
          <w:p w14:paraId="5DE4C123" w14:textId="3481A39A"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 </w:t>
            </w:r>
          </w:p>
        </w:tc>
        <w:tc>
          <w:tcPr>
            <w:tcW w:w="4449" w:type="dxa"/>
            <w:tcBorders>
              <w:right w:val="single" w:sz="4" w:space="0" w:color="BFBFBF" w:themeColor="background1" w:themeShade="BF"/>
            </w:tcBorders>
            <w:shd w:val="clear" w:color="auto" w:fill="EEF7FB"/>
          </w:tcPr>
          <w:p w14:paraId="2BD23482" w14:textId="6263F9B4" w:rsidR="00860F5D" w:rsidRPr="006E19EC" w:rsidRDefault="09CC70A9"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lang w:val="en-US"/>
              </w:rPr>
              <w:t>The training provided should lead to substantial capacity building</w:t>
            </w:r>
            <w:r w:rsidR="48ACDE06" w:rsidRPr="006E19EC">
              <w:rPr>
                <w:rFonts w:ascii="Verdana" w:hAnsi="Verdana" w:cs="Calibri"/>
                <w:color w:val="000000" w:themeColor="text1"/>
                <w:sz w:val="18"/>
                <w:szCs w:val="18"/>
                <w:lang w:val="en-US"/>
              </w:rPr>
              <w:t xml:space="preserve"> for the target group</w:t>
            </w:r>
            <w:r w:rsidRPr="006E19EC">
              <w:rPr>
                <w:rFonts w:ascii="Verdana" w:hAnsi="Verdana" w:cs="Calibri"/>
                <w:color w:val="000000" w:themeColor="text1"/>
                <w:sz w:val="18"/>
                <w:szCs w:val="18"/>
                <w:lang w:val="en-US"/>
              </w:rPr>
              <w:t xml:space="preserve">. </w:t>
            </w:r>
            <w:r w:rsidR="7ECE9BBA" w:rsidRPr="006E19EC">
              <w:rPr>
                <w:rFonts w:ascii="Verdana" w:hAnsi="Verdana" w:cs="Calibri"/>
                <w:color w:val="000000" w:themeColor="text1"/>
                <w:sz w:val="18"/>
                <w:szCs w:val="18"/>
                <w:lang w:val="en-US"/>
              </w:rPr>
              <w:t>It should also</w:t>
            </w:r>
            <w:r w:rsidRPr="006E19EC">
              <w:rPr>
                <w:rFonts w:ascii="Verdana" w:hAnsi="Verdana" w:cs="Calibri"/>
                <w:color w:val="000000" w:themeColor="text1"/>
                <w:sz w:val="18"/>
                <w:szCs w:val="18"/>
                <w:lang w:val="en-US"/>
              </w:rPr>
              <w:t xml:space="preserve"> provide clear opportunities for participants to increase their economic activities. This does not include </w:t>
            </w:r>
            <w:r w:rsidRPr="006E19EC">
              <w:rPr>
                <w:rFonts w:ascii="Verdana" w:hAnsi="Verdana" w:cs="Calibri"/>
                <w:color w:val="000000" w:themeColor="text1"/>
                <w:sz w:val="18"/>
                <w:szCs w:val="18"/>
                <w:lang w:val="en-US"/>
              </w:rPr>
              <w:lastRenderedPageBreak/>
              <w:t>workshops of less than 4 hours that give general information.</w:t>
            </w:r>
          </w:p>
        </w:tc>
        <w:tc>
          <w:tcPr>
            <w:tcW w:w="1646" w:type="dxa"/>
            <w:tcBorders>
              <w:top w:val="nil"/>
              <w:left w:val="single" w:sz="4" w:space="0" w:color="BFBFBF" w:themeColor="background1" w:themeShade="BF"/>
              <w:bottom w:val="nil"/>
              <w:right w:val="single" w:sz="4" w:space="0" w:color="BFBFBF" w:themeColor="background1" w:themeShade="BF"/>
            </w:tcBorders>
            <w:shd w:val="clear" w:color="auto" w:fill="EEF7FB"/>
            <w:vAlign w:val="center"/>
          </w:tcPr>
          <w:p w14:paraId="3A351C12" w14:textId="78A75A7F" w:rsidR="00860F5D" w:rsidRPr="006E19EC" w:rsidRDefault="51BF60CB" w:rsidP="00860F5D">
            <w:pPr>
              <w:spacing w:after="0" w:line="200" w:lineRule="exact"/>
              <w:rPr>
                <w:rFonts w:ascii="Verdana" w:hAnsi="Verdana"/>
                <w:b/>
                <w:bCs/>
                <w:sz w:val="18"/>
                <w:szCs w:val="18"/>
                <w:lang w:val="en-US"/>
              </w:rPr>
            </w:pPr>
            <w:r w:rsidRPr="006E19EC">
              <w:rPr>
                <w:rFonts w:ascii="Verdana" w:hAnsi="Verdana"/>
                <w:b/>
                <w:bCs/>
                <w:sz w:val="18"/>
                <w:szCs w:val="18"/>
              </w:rPr>
              <w:lastRenderedPageBreak/>
              <w:t>Business development</w:t>
            </w:r>
          </w:p>
        </w:tc>
        <w:tc>
          <w:tcPr>
            <w:tcW w:w="1843" w:type="dxa"/>
            <w:tcBorders>
              <w:left w:val="single" w:sz="4" w:space="0" w:color="BFBFBF" w:themeColor="background1" w:themeShade="BF"/>
            </w:tcBorders>
            <w:shd w:val="clear" w:color="auto" w:fill="EEF7FB"/>
          </w:tcPr>
          <w:p w14:paraId="5341E901" w14:textId="77777777" w:rsidR="00860F5D" w:rsidRDefault="00860F5D" w:rsidP="00860F5D">
            <w:pPr>
              <w:spacing w:after="0" w:line="200" w:lineRule="exact"/>
              <w:rPr>
                <w:rFonts w:ascii="Verdana" w:hAnsi="Verdana"/>
                <w:sz w:val="18"/>
                <w:szCs w:val="18"/>
                <w:lang w:val="en-US"/>
              </w:rPr>
            </w:pPr>
          </w:p>
          <w:p w14:paraId="40F36F5E" w14:textId="77777777" w:rsidR="004E1BD8" w:rsidRPr="004E1BD8" w:rsidRDefault="004E1BD8" w:rsidP="004E1BD8">
            <w:pPr>
              <w:rPr>
                <w:rFonts w:ascii="Verdana" w:hAnsi="Verdana"/>
                <w:sz w:val="18"/>
                <w:szCs w:val="18"/>
                <w:lang w:val="en-US"/>
              </w:rPr>
            </w:pPr>
          </w:p>
          <w:p w14:paraId="2282A4E6" w14:textId="77777777" w:rsidR="004E1BD8" w:rsidRPr="004E1BD8" w:rsidRDefault="004E1BD8" w:rsidP="004E1BD8">
            <w:pPr>
              <w:jc w:val="center"/>
              <w:rPr>
                <w:rFonts w:ascii="Verdana" w:hAnsi="Verdana"/>
                <w:sz w:val="18"/>
                <w:szCs w:val="18"/>
                <w:lang w:val="en-US"/>
              </w:rPr>
            </w:pPr>
          </w:p>
        </w:tc>
      </w:tr>
      <w:tr w:rsidR="00B5144A" w:rsidRPr="006E19EC" w14:paraId="26F85DC5" w14:textId="77777777" w:rsidTr="005A0D56">
        <w:trPr>
          <w:trHeight w:val="1134"/>
        </w:trPr>
        <w:tc>
          <w:tcPr>
            <w:tcW w:w="1950" w:type="dxa"/>
            <w:shd w:val="clear" w:color="auto" w:fill="EEF7FB"/>
          </w:tcPr>
          <w:p w14:paraId="66726276" w14:textId="0BDA7FE1"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lang w:val="en-US"/>
              </w:rPr>
              <w:t>The amount of mobilised private finance (in thousands of euros).</w:t>
            </w:r>
          </w:p>
        </w:tc>
        <w:tc>
          <w:tcPr>
            <w:tcW w:w="1873" w:type="dxa"/>
            <w:shd w:val="clear" w:color="auto" w:fill="EEF7FB"/>
          </w:tcPr>
          <w:p w14:paraId="4D3828C6" w14:textId="3F9A54D7"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 </w:t>
            </w:r>
          </w:p>
        </w:tc>
        <w:tc>
          <w:tcPr>
            <w:tcW w:w="1701" w:type="dxa"/>
            <w:shd w:val="clear" w:color="auto" w:fill="EEF7FB"/>
          </w:tcPr>
          <w:p w14:paraId="7E8120F2" w14:textId="3768B509" w:rsidR="00860F5D" w:rsidRPr="006E19EC" w:rsidRDefault="51BF60CB"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Quantitative</w:t>
            </w:r>
          </w:p>
        </w:tc>
        <w:tc>
          <w:tcPr>
            <w:tcW w:w="1134" w:type="dxa"/>
            <w:shd w:val="clear" w:color="auto" w:fill="EEF7FB"/>
          </w:tcPr>
          <w:p w14:paraId="3AD9EF22" w14:textId="5A37B81B"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 </w:t>
            </w:r>
          </w:p>
        </w:tc>
        <w:tc>
          <w:tcPr>
            <w:tcW w:w="1134" w:type="dxa"/>
            <w:shd w:val="clear" w:color="auto" w:fill="EEF7FB"/>
          </w:tcPr>
          <w:p w14:paraId="55B7B1B5" w14:textId="66DCA0EB"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 </w:t>
            </w:r>
          </w:p>
        </w:tc>
        <w:tc>
          <w:tcPr>
            <w:tcW w:w="4449" w:type="dxa"/>
            <w:tcBorders>
              <w:right w:val="single" w:sz="4" w:space="0" w:color="BFBFBF" w:themeColor="background1" w:themeShade="BF"/>
            </w:tcBorders>
            <w:shd w:val="clear" w:color="auto" w:fill="EEF7FB"/>
          </w:tcPr>
          <w:p w14:paraId="03295C1A" w14:textId="71516B08" w:rsidR="00860F5D" w:rsidRPr="006E19EC" w:rsidRDefault="6EE55FDF" w:rsidP="229F99CC">
            <w:pPr>
              <w:spacing w:after="0" w:line="200" w:lineRule="exact"/>
              <w:rPr>
                <w:rFonts w:ascii="Verdana" w:hAnsi="Verdana"/>
                <w:sz w:val="18"/>
                <w:szCs w:val="18"/>
                <w:lang w:val="en-US"/>
              </w:rPr>
            </w:pPr>
            <w:r w:rsidRPr="006E19EC">
              <w:rPr>
                <w:rFonts w:ascii="Verdana" w:hAnsi="Verdana" w:cs="Calibri"/>
                <w:color w:val="000000" w:themeColor="text1"/>
                <w:sz w:val="18"/>
                <w:szCs w:val="18"/>
                <w:lang w:val="en-US"/>
              </w:rPr>
              <w:t>Mobilised</w:t>
            </w:r>
            <w:r w:rsidRPr="006E19EC">
              <w:rPr>
                <w:rFonts w:ascii="Verdana" w:hAnsi="Verdana" w:cs="Calibri"/>
                <w:sz w:val="18"/>
                <w:szCs w:val="18"/>
                <w:lang w:val="en-US"/>
              </w:rPr>
              <w:t xml:space="preserve"> private finance is the amount of finance generated from private resources in a particular year that can be reasonably and directly linked to the Impact Clusters programme. Fill out the amount in thousands of euros. This indicator does not include in-kind investments</w:t>
            </w:r>
            <w:r w:rsidR="7F2C81AE" w:rsidRPr="006E19EC">
              <w:rPr>
                <w:rFonts w:ascii="Verdana" w:hAnsi="Verdana" w:cs="Calibri"/>
                <w:sz w:val="18"/>
                <w:szCs w:val="18"/>
                <w:lang w:val="en-US"/>
              </w:rPr>
              <w:t>,</w:t>
            </w:r>
            <w:r w:rsidRPr="006E19EC">
              <w:rPr>
                <w:rFonts w:ascii="Verdana" w:hAnsi="Verdana" w:cs="Calibri"/>
                <w:sz w:val="18"/>
                <w:szCs w:val="18"/>
                <w:lang w:val="en-US"/>
              </w:rPr>
              <w:t xml:space="preserve"> such as allocated time or other non-cash support</w:t>
            </w:r>
            <w:r w:rsidR="09CC70A9" w:rsidRPr="006E19EC">
              <w:rPr>
                <w:rFonts w:ascii="Verdana" w:hAnsi="Verdana" w:cs="Calibri"/>
                <w:color w:val="000000" w:themeColor="text1"/>
                <w:sz w:val="18"/>
                <w:szCs w:val="18"/>
                <w:lang w:val="en-US"/>
              </w:rPr>
              <w:t>.</w:t>
            </w:r>
          </w:p>
        </w:tc>
        <w:tc>
          <w:tcPr>
            <w:tcW w:w="1646" w:type="dxa"/>
            <w:tcBorders>
              <w:top w:val="nil"/>
              <w:left w:val="single" w:sz="4" w:space="0" w:color="BFBFBF" w:themeColor="background1" w:themeShade="BF"/>
              <w:bottom w:val="nil"/>
              <w:right w:val="single" w:sz="4" w:space="0" w:color="BFBFBF" w:themeColor="background1" w:themeShade="BF"/>
            </w:tcBorders>
            <w:shd w:val="clear" w:color="auto" w:fill="EEF7FB"/>
          </w:tcPr>
          <w:p w14:paraId="64BF01C6" w14:textId="77777777" w:rsidR="00860F5D" w:rsidRPr="006E19EC" w:rsidRDefault="00860F5D" w:rsidP="00860F5D">
            <w:pPr>
              <w:spacing w:after="0" w:line="200" w:lineRule="exact"/>
              <w:rPr>
                <w:rFonts w:ascii="Verdana" w:hAnsi="Verdana"/>
                <w:sz w:val="18"/>
                <w:szCs w:val="18"/>
                <w:lang w:val="en-US"/>
              </w:rPr>
            </w:pPr>
          </w:p>
        </w:tc>
        <w:tc>
          <w:tcPr>
            <w:tcW w:w="1843" w:type="dxa"/>
            <w:tcBorders>
              <w:left w:val="single" w:sz="4" w:space="0" w:color="BFBFBF" w:themeColor="background1" w:themeShade="BF"/>
            </w:tcBorders>
            <w:shd w:val="clear" w:color="auto" w:fill="EEF7FB"/>
          </w:tcPr>
          <w:p w14:paraId="0EB3E8D8" w14:textId="77777777" w:rsidR="00860F5D" w:rsidRPr="006E19EC" w:rsidRDefault="00860F5D" w:rsidP="00860F5D">
            <w:pPr>
              <w:spacing w:after="0" w:line="200" w:lineRule="exact"/>
              <w:rPr>
                <w:rFonts w:ascii="Verdana" w:hAnsi="Verdana"/>
                <w:sz w:val="18"/>
                <w:szCs w:val="18"/>
                <w:lang w:val="en-US"/>
              </w:rPr>
            </w:pPr>
          </w:p>
        </w:tc>
      </w:tr>
      <w:tr w:rsidR="00860F5D" w:rsidRPr="006E19EC" w14:paraId="0479AC17" w14:textId="77777777" w:rsidTr="005A0D56">
        <w:trPr>
          <w:trHeight w:val="1134"/>
        </w:trPr>
        <w:tc>
          <w:tcPr>
            <w:tcW w:w="1950" w:type="dxa"/>
            <w:shd w:val="clear" w:color="auto" w:fill="EEF7FB"/>
          </w:tcPr>
          <w:p w14:paraId="213203FE" w14:textId="7CD25C9E" w:rsidR="00860F5D" w:rsidRPr="006E19EC" w:rsidRDefault="0D9D59DA"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lang w:val="en-US"/>
              </w:rPr>
              <w:t>The extent to which local MSMEs use increased resources and capacity to perform better (more inclusive, social, sustainable</w:t>
            </w:r>
            <w:r w:rsidR="6D6DC5BC" w:rsidRPr="006E19EC">
              <w:rPr>
                <w:rFonts w:ascii="Verdana" w:hAnsi="Verdana" w:cs="Calibri"/>
                <w:color w:val="000000" w:themeColor="text1"/>
                <w:sz w:val="18"/>
                <w:szCs w:val="18"/>
                <w:lang w:val="en-US"/>
              </w:rPr>
              <w:t>,</w:t>
            </w:r>
            <w:r w:rsidRPr="006E19EC">
              <w:rPr>
                <w:rFonts w:ascii="Verdana" w:hAnsi="Verdana" w:cs="Calibri"/>
                <w:color w:val="000000" w:themeColor="text1"/>
                <w:sz w:val="18"/>
                <w:szCs w:val="18"/>
                <w:lang w:val="en-US"/>
              </w:rPr>
              <w:t xml:space="preserve"> and profitable)</w:t>
            </w:r>
            <w:r w:rsidR="34B69003" w:rsidRPr="006E19EC">
              <w:rPr>
                <w:rFonts w:ascii="Verdana" w:hAnsi="Verdana" w:cs="Calibri"/>
                <w:color w:val="000000" w:themeColor="text1"/>
                <w:sz w:val="18"/>
                <w:szCs w:val="18"/>
                <w:lang w:val="en-US"/>
              </w:rPr>
              <w:t>.</w:t>
            </w:r>
            <w:r w:rsidRPr="006E19EC">
              <w:rPr>
                <w:rFonts w:ascii="Verdana" w:hAnsi="Verdana" w:cs="Calibri"/>
                <w:color w:val="000000" w:themeColor="text1"/>
                <w:sz w:val="18"/>
                <w:szCs w:val="18"/>
                <w:lang w:val="en-US"/>
              </w:rPr>
              <w:t> </w:t>
            </w:r>
          </w:p>
        </w:tc>
        <w:tc>
          <w:tcPr>
            <w:tcW w:w="1873" w:type="dxa"/>
            <w:shd w:val="clear" w:color="auto" w:fill="EEF7FB"/>
          </w:tcPr>
          <w:p w14:paraId="16CFEE4F" w14:textId="7CB2B5AF" w:rsidR="00860F5D" w:rsidRPr="006E19EC" w:rsidRDefault="3D5E5C90"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Not applicable</w:t>
            </w:r>
          </w:p>
        </w:tc>
        <w:tc>
          <w:tcPr>
            <w:tcW w:w="1701" w:type="dxa"/>
            <w:shd w:val="clear" w:color="auto" w:fill="EEF7FB"/>
          </w:tcPr>
          <w:p w14:paraId="41F607AB" w14:textId="2D77C847" w:rsidR="00860F5D" w:rsidRPr="006E19EC" w:rsidRDefault="51BF60CB"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Qualitative</w:t>
            </w:r>
          </w:p>
        </w:tc>
        <w:tc>
          <w:tcPr>
            <w:tcW w:w="1134" w:type="dxa"/>
            <w:shd w:val="clear" w:color="auto" w:fill="EEF7FB"/>
          </w:tcPr>
          <w:p w14:paraId="16910317" w14:textId="7D0A3A1E" w:rsidR="00860F5D" w:rsidRPr="006E19EC" w:rsidRDefault="7FC8376F"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Not applicable</w:t>
            </w:r>
          </w:p>
        </w:tc>
        <w:tc>
          <w:tcPr>
            <w:tcW w:w="1134" w:type="dxa"/>
            <w:shd w:val="clear" w:color="auto" w:fill="EEF7FB"/>
          </w:tcPr>
          <w:p w14:paraId="54304645" w14:textId="35841008" w:rsidR="00860F5D" w:rsidRPr="006E19EC" w:rsidRDefault="64C6C4AA" w:rsidP="229F99CC">
            <w:pPr>
              <w:spacing w:after="0" w:line="200" w:lineRule="exact"/>
              <w:rPr>
                <w:rFonts w:ascii="Verdana" w:hAnsi="Verdana" w:cs="Calibri"/>
                <w:color w:val="000000" w:themeColor="text1"/>
                <w:sz w:val="18"/>
                <w:szCs w:val="18"/>
                <w:lang w:val="nl-NL"/>
              </w:rPr>
            </w:pPr>
            <w:r w:rsidRPr="006E19EC">
              <w:rPr>
                <w:rFonts w:ascii="Verdana" w:hAnsi="Verdana" w:cs="Calibri"/>
                <w:color w:val="000000" w:themeColor="text1"/>
                <w:sz w:val="18"/>
                <w:szCs w:val="18"/>
                <w:lang w:val="nl-NL"/>
              </w:rPr>
              <w:t>Not applicable</w:t>
            </w:r>
          </w:p>
        </w:tc>
        <w:tc>
          <w:tcPr>
            <w:tcW w:w="4449" w:type="dxa"/>
            <w:tcBorders>
              <w:right w:val="single" w:sz="4" w:space="0" w:color="BFBFBF" w:themeColor="background1" w:themeShade="BF"/>
            </w:tcBorders>
            <w:shd w:val="clear" w:color="auto" w:fill="EEF7FB"/>
          </w:tcPr>
          <w:p w14:paraId="5B04B8C1" w14:textId="4572B908" w:rsidR="00860F5D" w:rsidRPr="006E19EC" w:rsidRDefault="0D9D59DA"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lang w:val="en-US"/>
              </w:rPr>
              <w:t>Evidence from the Impact Clusters programme via surveys, reflections or interviews with farmers, students, entrepreneurs, and so on. MSMEs use these resources or the capacity gained to perform better due to the intervention. Performing better means being more inclusive, social, sustainable</w:t>
            </w:r>
            <w:r w:rsidR="2B24EAC2" w:rsidRPr="006E19EC">
              <w:rPr>
                <w:rFonts w:ascii="Verdana" w:hAnsi="Verdana" w:cs="Calibri"/>
                <w:color w:val="000000" w:themeColor="text1"/>
                <w:sz w:val="18"/>
                <w:szCs w:val="18"/>
                <w:lang w:val="en-US"/>
              </w:rPr>
              <w:t>,</w:t>
            </w:r>
            <w:r w:rsidRPr="006E19EC">
              <w:rPr>
                <w:rFonts w:ascii="Verdana" w:hAnsi="Verdana" w:cs="Calibri"/>
                <w:color w:val="000000" w:themeColor="text1"/>
                <w:sz w:val="18"/>
                <w:szCs w:val="18"/>
                <w:lang w:val="en-US"/>
              </w:rPr>
              <w:t xml:space="preserve"> and profitable.</w:t>
            </w:r>
          </w:p>
        </w:tc>
        <w:tc>
          <w:tcPr>
            <w:tcW w:w="1646"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EF7FB"/>
          </w:tcPr>
          <w:p w14:paraId="5F30AF56" w14:textId="77777777" w:rsidR="00860F5D" w:rsidRPr="006E19EC" w:rsidRDefault="00860F5D" w:rsidP="00860F5D">
            <w:pPr>
              <w:spacing w:after="0" w:line="200" w:lineRule="exact"/>
              <w:rPr>
                <w:rFonts w:ascii="Verdana" w:hAnsi="Verdana"/>
                <w:sz w:val="18"/>
                <w:szCs w:val="18"/>
                <w:lang w:val="en-US"/>
              </w:rPr>
            </w:pPr>
          </w:p>
        </w:tc>
        <w:tc>
          <w:tcPr>
            <w:tcW w:w="1843" w:type="dxa"/>
            <w:tcBorders>
              <w:left w:val="single" w:sz="4" w:space="0" w:color="BFBFBF" w:themeColor="background1" w:themeShade="BF"/>
            </w:tcBorders>
            <w:shd w:val="clear" w:color="auto" w:fill="EEF7FB"/>
          </w:tcPr>
          <w:p w14:paraId="69C34D4E" w14:textId="77777777" w:rsidR="00860F5D" w:rsidRPr="006E19EC" w:rsidRDefault="00860F5D" w:rsidP="00860F5D">
            <w:pPr>
              <w:spacing w:after="0" w:line="200" w:lineRule="exact"/>
              <w:rPr>
                <w:rFonts w:ascii="Verdana" w:hAnsi="Verdana"/>
                <w:sz w:val="18"/>
                <w:szCs w:val="18"/>
                <w:lang w:val="en-US"/>
              </w:rPr>
            </w:pPr>
          </w:p>
        </w:tc>
      </w:tr>
      <w:tr w:rsidR="00860F5D" w:rsidRPr="006E19EC" w14:paraId="088E1FDB" w14:textId="77777777" w:rsidTr="005A0D56">
        <w:trPr>
          <w:trHeight w:val="1134"/>
        </w:trPr>
        <w:tc>
          <w:tcPr>
            <w:tcW w:w="1950" w:type="dxa"/>
            <w:shd w:val="clear" w:color="auto" w:fill="FAFAFA"/>
          </w:tcPr>
          <w:p w14:paraId="02723A49" w14:textId="39DA5AE2" w:rsidR="00860F5D" w:rsidRPr="006E19EC" w:rsidRDefault="09CC70A9" w:rsidP="229F99CC">
            <w:pPr>
              <w:spacing w:after="0" w:line="200" w:lineRule="exact"/>
              <w:rPr>
                <w:rFonts w:ascii="Verdana" w:hAnsi="Verdana"/>
                <w:sz w:val="18"/>
                <w:szCs w:val="18"/>
                <w:lang w:val="en-US"/>
              </w:rPr>
            </w:pPr>
            <w:r w:rsidRPr="006E19EC">
              <w:rPr>
                <w:rFonts w:ascii="Verdana" w:hAnsi="Verdana" w:cs="Calibri"/>
                <w:color w:val="000000" w:themeColor="text1"/>
                <w:sz w:val="18"/>
                <w:szCs w:val="18"/>
                <w:lang w:val="en-US"/>
              </w:rPr>
              <w:t xml:space="preserve">The number of </w:t>
            </w:r>
            <w:r w:rsidR="266D6D84" w:rsidRPr="006E19EC">
              <w:rPr>
                <w:rFonts w:ascii="Verdana" w:hAnsi="Verdana" w:cs="Calibri"/>
                <w:color w:val="000000" w:themeColor="text1"/>
                <w:sz w:val="18"/>
                <w:szCs w:val="18"/>
                <w:lang w:val="en-US"/>
              </w:rPr>
              <w:t>directly supported</w:t>
            </w:r>
            <w:r w:rsidR="21410AE4" w:rsidRPr="006E19EC">
              <w:rPr>
                <w:rFonts w:ascii="Verdana" w:hAnsi="Verdana" w:cs="Calibri"/>
                <w:color w:val="000000" w:themeColor="text1"/>
                <w:sz w:val="18"/>
                <w:szCs w:val="18"/>
                <w:lang w:val="en-US"/>
              </w:rPr>
              <w:t xml:space="preserve"> </w:t>
            </w:r>
            <w:r w:rsidRPr="006E19EC">
              <w:rPr>
                <w:rFonts w:ascii="Verdana" w:hAnsi="Verdana" w:cs="Calibri"/>
                <w:color w:val="000000" w:themeColor="text1"/>
                <w:sz w:val="18"/>
                <w:szCs w:val="18"/>
                <w:lang w:val="en-US"/>
              </w:rPr>
              <w:t xml:space="preserve">organisations </w:t>
            </w:r>
          </w:p>
          <w:p w14:paraId="4ACBA068" w14:textId="1C2C8558" w:rsidR="00860F5D" w:rsidRPr="006E19EC" w:rsidRDefault="09CC70A9"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lang w:val="en-US"/>
              </w:rPr>
              <w:t>contributing to a sustainable local business climate.</w:t>
            </w:r>
          </w:p>
        </w:tc>
        <w:tc>
          <w:tcPr>
            <w:tcW w:w="1873" w:type="dxa"/>
            <w:shd w:val="clear" w:color="auto" w:fill="FAFAFA"/>
          </w:tcPr>
          <w:p w14:paraId="069CC622" w14:textId="60C27D40" w:rsidR="00860F5D" w:rsidRPr="006E19EC" w:rsidRDefault="09CC70A9" w:rsidP="229F99CC">
            <w:pPr>
              <w:spacing w:after="0" w:line="200" w:lineRule="exact"/>
              <w:rPr>
                <w:rFonts w:ascii="Verdana" w:hAnsi="Verdana"/>
                <w:sz w:val="18"/>
                <w:szCs w:val="18"/>
              </w:rPr>
            </w:pPr>
            <w:r w:rsidRPr="006E19EC">
              <w:rPr>
                <w:rFonts w:ascii="Verdana" w:hAnsi="Verdana" w:cs="Calibri"/>
                <w:color w:val="000000" w:themeColor="text1"/>
                <w:sz w:val="18"/>
                <w:szCs w:val="18"/>
              </w:rPr>
              <w:t xml:space="preserve">Government, </w:t>
            </w:r>
            <w:r w:rsidR="00860F5D" w:rsidRPr="006E19EC">
              <w:rPr>
                <w:rFonts w:ascii="Verdana" w:hAnsi="Verdana"/>
                <w:sz w:val="18"/>
                <w:szCs w:val="18"/>
              </w:rPr>
              <w:br/>
            </w:r>
            <w:r w:rsidR="4E0112A1" w:rsidRPr="006E19EC">
              <w:rPr>
                <w:rFonts w:ascii="Verdana" w:hAnsi="Verdana" w:cs="Calibri"/>
                <w:color w:val="000000" w:themeColor="text1"/>
                <w:sz w:val="18"/>
                <w:szCs w:val="18"/>
              </w:rPr>
              <w:t>s</w:t>
            </w:r>
            <w:r w:rsidRPr="006E19EC">
              <w:rPr>
                <w:rFonts w:ascii="Verdana" w:hAnsi="Verdana" w:cs="Calibri"/>
                <w:color w:val="000000" w:themeColor="text1"/>
                <w:sz w:val="18"/>
                <w:szCs w:val="18"/>
              </w:rPr>
              <w:t>emi-</w:t>
            </w:r>
            <w:r w:rsidR="263FBA6C" w:rsidRPr="006E19EC">
              <w:rPr>
                <w:rFonts w:ascii="Verdana" w:hAnsi="Verdana" w:cs="Calibri"/>
                <w:color w:val="000000" w:themeColor="text1"/>
                <w:sz w:val="18"/>
                <w:szCs w:val="18"/>
              </w:rPr>
              <w:t>g</w:t>
            </w:r>
            <w:r w:rsidRPr="006E19EC">
              <w:rPr>
                <w:rFonts w:ascii="Verdana" w:hAnsi="Verdana" w:cs="Calibri"/>
                <w:color w:val="000000" w:themeColor="text1"/>
                <w:sz w:val="18"/>
                <w:szCs w:val="18"/>
              </w:rPr>
              <w:t>overnment,</w:t>
            </w:r>
            <w:r w:rsidR="6FC4519E" w:rsidRPr="006E19EC">
              <w:rPr>
                <w:rFonts w:ascii="Verdana" w:hAnsi="Verdana" w:cs="Calibri"/>
                <w:color w:val="000000" w:themeColor="text1"/>
                <w:sz w:val="18"/>
                <w:szCs w:val="18"/>
              </w:rPr>
              <w:t xml:space="preserve"> f</w:t>
            </w:r>
            <w:r w:rsidRPr="006E19EC">
              <w:rPr>
                <w:rFonts w:ascii="Verdana" w:hAnsi="Verdana" w:cs="Calibri"/>
                <w:color w:val="000000" w:themeColor="text1"/>
                <w:sz w:val="18"/>
                <w:szCs w:val="18"/>
              </w:rPr>
              <w:t>armers/workers/</w:t>
            </w:r>
          </w:p>
          <w:p w14:paraId="4F02CCE5" w14:textId="432BC3EC" w:rsidR="00860F5D" w:rsidRPr="006E19EC" w:rsidRDefault="7A12E721" w:rsidP="229F99CC">
            <w:pPr>
              <w:spacing w:after="0" w:line="200" w:lineRule="exact"/>
              <w:rPr>
                <w:rFonts w:ascii="Verdana" w:hAnsi="Verdana"/>
                <w:sz w:val="18"/>
                <w:szCs w:val="18"/>
              </w:rPr>
            </w:pPr>
            <w:r w:rsidRPr="006E19EC">
              <w:rPr>
                <w:rFonts w:ascii="Verdana" w:hAnsi="Verdana" w:cs="Calibri"/>
                <w:color w:val="000000" w:themeColor="text1"/>
                <w:sz w:val="18"/>
                <w:szCs w:val="18"/>
              </w:rPr>
              <w:t>e</w:t>
            </w:r>
            <w:r w:rsidR="09CC70A9" w:rsidRPr="006E19EC">
              <w:rPr>
                <w:rFonts w:ascii="Verdana" w:hAnsi="Verdana" w:cs="Calibri"/>
                <w:color w:val="000000" w:themeColor="text1"/>
                <w:sz w:val="18"/>
                <w:szCs w:val="18"/>
              </w:rPr>
              <w:t>ntrepreneurs/</w:t>
            </w:r>
          </w:p>
          <w:p w14:paraId="00D59C83" w14:textId="2140D6EB" w:rsidR="00860F5D" w:rsidRPr="006E19EC" w:rsidRDefault="09CC70A9"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trade</w:t>
            </w:r>
            <w:r w:rsidR="05934212" w:rsidRPr="006E19EC">
              <w:rPr>
                <w:rFonts w:ascii="Verdana" w:hAnsi="Verdana" w:cs="Calibri"/>
                <w:color w:val="000000" w:themeColor="text1"/>
                <w:sz w:val="18"/>
                <w:szCs w:val="18"/>
              </w:rPr>
              <w:t xml:space="preserve"> </w:t>
            </w:r>
            <w:r w:rsidRPr="006E19EC">
              <w:rPr>
                <w:rFonts w:ascii="Verdana" w:hAnsi="Verdana" w:cs="Calibri"/>
                <w:color w:val="000000" w:themeColor="text1"/>
                <w:sz w:val="18"/>
                <w:szCs w:val="18"/>
              </w:rPr>
              <w:t xml:space="preserve">organisations, </w:t>
            </w:r>
            <w:r w:rsidR="7385D64D" w:rsidRPr="006E19EC">
              <w:rPr>
                <w:rFonts w:ascii="Verdana" w:hAnsi="Verdana" w:cs="Calibri"/>
                <w:color w:val="000000" w:themeColor="text1"/>
                <w:sz w:val="18"/>
                <w:szCs w:val="18"/>
              </w:rPr>
              <w:t>t</w:t>
            </w:r>
            <w:r w:rsidRPr="006E19EC">
              <w:rPr>
                <w:rFonts w:ascii="Verdana" w:hAnsi="Verdana" w:cs="Calibri"/>
                <w:color w:val="000000" w:themeColor="text1"/>
                <w:sz w:val="18"/>
                <w:szCs w:val="18"/>
              </w:rPr>
              <w:t>otal</w:t>
            </w:r>
          </w:p>
        </w:tc>
        <w:tc>
          <w:tcPr>
            <w:tcW w:w="1701" w:type="dxa"/>
            <w:shd w:val="clear" w:color="auto" w:fill="FAFAFA"/>
          </w:tcPr>
          <w:p w14:paraId="1DE20231" w14:textId="0F5E43C8" w:rsidR="00860F5D" w:rsidRPr="006E19EC" w:rsidRDefault="51BF60CB"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Quantitative</w:t>
            </w:r>
          </w:p>
        </w:tc>
        <w:tc>
          <w:tcPr>
            <w:tcW w:w="1134" w:type="dxa"/>
            <w:shd w:val="clear" w:color="auto" w:fill="FAFAFA"/>
          </w:tcPr>
          <w:p w14:paraId="027AD8EA" w14:textId="775CE0F3"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 </w:t>
            </w:r>
          </w:p>
        </w:tc>
        <w:tc>
          <w:tcPr>
            <w:tcW w:w="1134" w:type="dxa"/>
            <w:shd w:val="clear" w:color="auto" w:fill="FAFAFA"/>
          </w:tcPr>
          <w:p w14:paraId="3DE03015" w14:textId="375A8DA0"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 </w:t>
            </w:r>
          </w:p>
        </w:tc>
        <w:tc>
          <w:tcPr>
            <w:tcW w:w="4449" w:type="dxa"/>
            <w:tcBorders>
              <w:right w:val="single" w:sz="4" w:space="0" w:color="BFBFBF" w:themeColor="background1" w:themeShade="BF"/>
            </w:tcBorders>
            <w:shd w:val="clear" w:color="auto" w:fill="FAFAFA"/>
          </w:tcPr>
          <w:p w14:paraId="5CA17820" w14:textId="52C819A1" w:rsidR="00860F5D" w:rsidRPr="006E19EC" w:rsidRDefault="02DE555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lang w:val="en-US"/>
              </w:rPr>
              <w:t>The number of organisations, not the number of individuals. Count organisation</w:t>
            </w:r>
            <w:r w:rsidR="7047D8E8" w:rsidRPr="006E19EC">
              <w:rPr>
                <w:rFonts w:ascii="Verdana" w:hAnsi="Verdana" w:cs="Calibri"/>
                <w:color w:val="000000" w:themeColor="text1"/>
                <w:sz w:val="18"/>
                <w:szCs w:val="18"/>
                <w:lang w:val="en-US"/>
              </w:rPr>
              <w:t>s</w:t>
            </w:r>
            <w:r w:rsidRPr="006E19EC">
              <w:rPr>
                <w:rFonts w:ascii="Verdana" w:hAnsi="Verdana" w:cs="Calibri"/>
                <w:color w:val="000000" w:themeColor="text1"/>
                <w:sz w:val="18"/>
                <w:szCs w:val="18"/>
                <w:lang w:val="en-US"/>
              </w:rPr>
              <w:t xml:space="preserve"> that have undergone a learning process through project activities. It concerns more than one occasion. The organisation played an active role in the enabling environment of private sector development (PSD).</w:t>
            </w:r>
          </w:p>
        </w:tc>
        <w:tc>
          <w:tcPr>
            <w:tcW w:w="164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AFAFA"/>
          </w:tcPr>
          <w:p w14:paraId="398A384B" w14:textId="77777777" w:rsidR="00860F5D" w:rsidRPr="006E19EC" w:rsidRDefault="00860F5D" w:rsidP="00860F5D">
            <w:pPr>
              <w:spacing w:after="0" w:line="200" w:lineRule="exact"/>
              <w:rPr>
                <w:rFonts w:ascii="Verdana" w:hAnsi="Verdana"/>
                <w:sz w:val="18"/>
                <w:szCs w:val="18"/>
                <w:lang w:val="en-US"/>
              </w:rPr>
            </w:pPr>
          </w:p>
        </w:tc>
        <w:tc>
          <w:tcPr>
            <w:tcW w:w="1843" w:type="dxa"/>
            <w:tcBorders>
              <w:left w:val="single" w:sz="4" w:space="0" w:color="BFBFBF" w:themeColor="background1" w:themeShade="BF"/>
            </w:tcBorders>
            <w:shd w:val="clear" w:color="auto" w:fill="FAFAFA"/>
          </w:tcPr>
          <w:p w14:paraId="069E78D4" w14:textId="77777777" w:rsidR="00860F5D" w:rsidRPr="006E19EC" w:rsidRDefault="00860F5D" w:rsidP="00860F5D">
            <w:pPr>
              <w:spacing w:after="0" w:line="200" w:lineRule="exact"/>
              <w:rPr>
                <w:rFonts w:ascii="Verdana" w:hAnsi="Verdana"/>
                <w:sz w:val="18"/>
                <w:szCs w:val="18"/>
                <w:lang w:val="en-US"/>
              </w:rPr>
            </w:pPr>
          </w:p>
        </w:tc>
      </w:tr>
      <w:tr w:rsidR="00860F5D" w:rsidRPr="006E19EC" w14:paraId="011635F2" w14:textId="77777777" w:rsidTr="005A0D56">
        <w:trPr>
          <w:trHeight w:val="1134"/>
        </w:trPr>
        <w:tc>
          <w:tcPr>
            <w:tcW w:w="1950" w:type="dxa"/>
            <w:shd w:val="clear" w:color="auto" w:fill="FAFAFA"/>
          </w:tcPr>
          <w:p w14:paraId="4F68C8EF" w14:textId="087209FA" w:rsidR="00860F5D" w:rsidRPr="006E19EC" w:rsidRDefault="02DE555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lang w:val="en-US"/>
              </w:rPr>
              <w:t xml:space="preserve">The number and description </w:t>
            </w:r>
            <w:r w:rsidR="16438D2E" w:rsidRPr="006E19EC">
              <w:rPr>
                <w:rFonts w:ascii="Verdana" w:hAnsi="Verdana" w:cs="Calibri"/>
                <w:color w:val="000000" w:themeColor="text1"/>
                <w:sz w:val="18"/>
                <w:szCs w:val="18"/>
                <w:lang w:val="en-US"/>
              </w:rPr>
              <w:t>of changes</w:t>
            </w:r>
            <w:r w:rsidRPr="006E19EC">
              <w:rPr>
                <w:rFonts w:ascii="Verdana" w:hAnsi="Verdana" w:cs="Calibri"/>
                <w:color w:val="000000" w:themeColor="text1"/>
                <w:sz w:val="18"/>
                <w:szCs w:val="18"/>
                <w:lang w:val="en-US"/>
              </w:rPr>
              <w:t xml:space="preserve"> achieved in laws, regulations, policy plans, social dialogue outcomes</w:t>
            </w:r>
            <w:r w:rsidR="2B3D7A37" w:rsidRPr="006E19EC">
              <w:rPr>
                <w:rFonts w:ascii="Verdana" w:hAnsi="Verdana" w:cs="Calibri"/>
                <w:color w:val="000000" w:themeColor="text1"/>
                <w:sz w:val="18"/>
                <w:szCs w:val="18"/>
                <w:lang w:val="en-US"/>
              </w:rPr>
              <w:t>,</w:t>
            </w:r>
            <w:r w:rsidRPr="006E19EC">
              <w:rPr>
                <w:rFonts w:ascii="Verdana" w:hAnsi="Verdana" w:cs="Calibri"/>
                <w:color w:val="000000" w:themeColor="text1"/>
                <w:sz w:val="18"/>
                <w:szCs w:val="18"/>
                <w:lang w:val="en-US"/>
              </w:rPr>
              <w:t xml:space="preserve"> or development strategies</w:t>
            </w:r>
            <w:r w:rsidR="5203A305" w:rsidRPr="006E19EC">
              <w:rPr>
                <w:rFonts w:ascii="Verdana" w:hAnsi="Verdana" w:cs="Calibri"/>
                <w:color w:val="000000" w:themeColor="text1"/>
                <w:sz w:val="18"/>
                <w:szCs w:val="18"/>
                <w:lang w:val="en-US"/>
              </w:rPr>
              <w:t>.</w:t>
            </w:r>
            <w:r w:rsidRPr="006E19EC">
              <w:rPr>
                <w:rFonts w:ascii="Verdana" w:hAnsi="Verdana" w:cs="Calibri"/>
                <w:color w:val="000000" w:themeColor="text1"/>
                <w:sz w:val="18"/>
                <w:szCs w:val="18"/>
                <w:lang w:val="en-US"/>
              </w:rPr>
              <w:t xml:space="preserve"> </w:t>
            </w:r>
            <w:r w:rsidR="2117FC36" w:rsidRPr="006E19EC">
              <w:rPr>
                <w:rFonts w:ascii="Verdana" w:hAnsi="Verdana" w:cs="Calibri"/>
                <w:color w:val="000000" w:themeColor="text1"/>
                <w:sz w:val="18"/>
                <w:szCs w:val="18"/>
                <w:lang w:val="en-US"/>
              </w:rPr>
              <w:t xml:space="preserve">These should be </w:t>
            </w:r>
            <w:r w:rsidRPr="006E19EC">
              <w:rPr>
                <w:rFonts w:ascii="Verdana" w:hAnsi="Verdana" w:cs="Calibri"/>
                <w:color w:val="000000" w:themeColor="text1"/>
                <w:sz w:val="18"/>
                <w:szCs w:val="18"/>
                <w:lang w:val="en-US"/>
              </w:rPr>
              <w:t>enacted or adopted by local government or social dialogue partners in the reporting period due to direct intervention by the PSD Toolkit.</w:t>
            </w:r>
          </w:p>
        </w:tc>
        <w:tc>
          <w:tcPr>
            <w:tcW w:w="1873" w:type="dxa"/>
            <w:shd w:val="clear" w:color="auto" w:fill="FAFAFA"/>
          </w:tcPr>
          <w:p w14:paraId="01F15165" w14:textId="59D2AE60" w:rsidR="00860F5D" w:rsidRPr="006E19EC" w:rsidRDefault="6328CC71"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Not applicable</w:t>
            </w:r>
          </w:p>
        </w:tc>
        <w:tc>
          <w:tcPr>
            <w:tcW w:w="1701" w:type="dxa"/>
            <w:shd w:val="clear" w:color="auto" w:fill="FAFAFA"/>
          </w:tcPr>
          <w:p w14:paraId="21CC37A1" w14:textId="600F4AC5" w:rsidR="00860F5D" w:rsidRPr="006E19EC" w:rsidRDefault="09CC70A9"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 xml:space="preserve">Quantitative &amp; </w:t>
            </w:r>
            <w:r w:rsidR="257E6A73" w:rsidRPr="006E19EC">
              <w:rPr>
                <w:rFonts w:ascii="Verdana" w:hAnsi="Verdana" w:cs="Calibri"/>
                <w:color w:val="000000" w:themeColor="text1"/>
                <w:sz w:val="18"/>
                <w:szCs w:val="18"/>
                <w:lang w:val="nl-NL"/>
              </w:rPr>
              <w:t>q</w:t>
            </w:r>
            <w:r w:rsidRPr="006E19EC">
              <w:rPr>
                <w:rFonts w:ascii="Verdana" w:hAnsi="Verdana" w:cs="Calibri"/>
                <w:color w:val="000000" w:themeColor="text1"/>
                <w:sz w:val="18"/>
                <w:szCs w:val="18"/>
                <w:lang w:val="nl-NL"/>
              </w:rPr>
              <w:t>ualitative</w:t>
            </w:r>
          </w:p>
        </w:tc>
        <w:tc>
          <w:tcPr>
            <w:tcW w:w="1134" w:type="dxa"/>
            <w:shd w:val="clear" w:color="auto" w:fill="FAFAFA"/>
          </w:tcPr>
          <w:p w14:paraId="327EEE36" w14:textId="36413275"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 </w:t>
            </w:r>
          </w:p>
        </w:tc>
        <w:tc>
          <w:tcPr>
            <w:tcW w:w="1134" w:type="dxa"/>
            <w:shd w:val="clear" w:color="auto" w:fill="FAFAFA"/>
          </w:tcPr>
          <w:p w14:paraId="4A856C7A" w14:textId="005402F2"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 </w:t>
            </w:r>
          </w:p>
        </w:tc>
        <w:tc>
          <w:tcPr>
            <w:tcW w:w="4449" w:type="dxa"/>
            <w:tcBorders>
              <w:right w:val="single" w:sz="4" w:space="0" w:color="BFBFBF" w:themeColor="background1" w:themeShade="BF"/>
            </w:tcBorders>
            <w:shd w:val="clear" w:color="auto" w:fill="FAFAFA"/>
          </w:tcPr>
          <w:p w14:paraId="7B9F5C82" w14:textId="508C0099"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lang w:val="en-US"/>
              </w:rPr>
              <w:t>This indicator represents actual changes in laws and regulations, policy plans, social dialogue outcomes</w:t>
            </w:r>
            <w:r w:rsidR="40FBD2F0" w:rsidRPr="006E19EC">
              <w:rPr>
                <w:rFonts w:ascii="Verdana" w:hAnsi="Verdana" w:cs="Calibri"/>
                <w:color w:val="000000" w:themeColor="text1"/>
                <w:sz w:val="18"/>
                <w:szCs w:val="18"/>
                <w:lang w:val="en-US"/>
              </w:rPr>
              <w:t>,</w:t>
            </w:r>
            <w:r w:rsidRPr="006E19EC">
              <w:rPr>
                <w:rFonts w:ascii="Verdana" w:hAnsi="Verdana" w:cs="Calibri"/>
                <w:color w:val="000000" w:themeColor="text1"/>
                <w:sz w:val="18"/>
                <w:szCs w:val="18"/>
                <w:lang w:val="en-US"/>
              </w:rPr>
              <w:t xml:space="preserve"> or enacted development strategies. You must register these changes, for example in a Memorandum of Understanding (MoU) or Letter of Intent (LoI). Count the number of formal registrations. You can multiply the number if more than 1 local government authority signs an MoU or approves several changes.</w:t>
            </w:r>
          </w:p>
        </w:tc>
        <w:tc>
          <w:tcPr>
            <w:tcW w:w="1646" w:type="dxa"/>
            <w:tcBorders>
              <w:top w:val="nil"/>
              <w:left w:val="single" w:sz="4" w:space="0" w:color="BFBFBF" w:themeColor="background1" w:themeShade="BF"/>
              <w:bottom w:val="nil"/>
              <w:right w:val="single" w:sz="4" w:space="0" w:color="BFBFBF" w:themeColor="background1" w:themeShade="BF"/>
            </w:tcBorders>
            <w:shd w:val="clear" w:color="auto" w:fill="FAFAFA"/>
            <w:vAlign w:val="center"/>
          </w:tcPr>
          <w:p w14:paraId="2BACDF6A" w14:textId="6E230C1F" w:rsidR="00860F5D" w:rsidRPr="006E19EC" w:rsidRDefault="51BF60CB" w:rsidP="00860F5D">
            <w:pPr>
              <w:spacing w:after="0" w:line="200" w:lineRule="exact"/>
              <w:rPr>
                <w:rFonts w:ascii="Verdana" w:hAnsi="Verdana"/>
                <w:b/>
                <w:bCs/>
                <w:sz w:val="18"/>
                <w:szCs w:val="18"/>
                <w:lang w:val="en-US"/>
              </w:rPr>
            </w:pPr>
            <w:r w:rsidRPr="006E19EC">
              <w:rPr>
                <w:rFonts w:ascii="Verdana" w:hAnsi="Verdana"/>
                <w:b/>
                <w:bCs/>
                <w:sz w:val="18"/>
                <w:szCs w:val="18"/>
                <w:lang w:val="en-US"/>
              </w:rPr>
              <w:t xml:space="preserve">Enabling environment: </w:t>
            </w:r>
            <w:r w:rsidRPr="006E19EC">
              <w:rPr>
                <w:rFonts w:ascii="Verdana" w:hAnsi="Verdana"/>
                <w:sz w:val="18"/>
                <w:szCs w:val="18"/>
                <w:lang w:val="en-US"/>
              </w:rPr>
              <w:t>Only relevant if the project works on improving the enabling environment.</w:t>
            </w:r>
          </w:p>
        </w:tc>
        <w:tc>
          <w:tcPr>
            <w:tcW w:w="1843" w:type="dxa"/>
            <w:tcBorders>
              <w:left w:val="single" w:sz="4" w:space="0" w:color="BFBFBF" w:themeColor="background1" w:themeShade="BF"/>
            </w:tcBorders>
            <w:shd w:val="clear" w:color="auto" w:fill="FAFAFA"/>
          </w:tcPr>
          <w:p w14:paraId="2203A679" w14:textId="77777777" w:rsidR="00860F5D" w:rsidRPr="006E19EC" w:rsidRDefault="00860F5D" w:rsidP="00860F5D">
            <w:pPr>
              <w:spacing w:after="0" w:line="200" w:lineRule="exact"/>
              <w:rPr>
                <w:rFonts w:ascii="Verdana" w:hAnsi="Verdana"/>
                <w:sz w:val="18"/>
                <w:szCs w:val="18"/>
                <w:lang w:val="en-US"/>
              </w:rPr>
            </w:pPr>
          </w:p>
        </w:tc>
      </w:tr>
      <w:tr w:rsidR="00860F5D" w:rsidRPr="006E19EC" w14:paraId="5375AAEF" w14:textId="77777777" w:rsidTr="005A0D56">
        <w:trPr>
          <w:trHeight w:val="1134"/>
        </w:trPr>
        <w:tc>
          <w:tcPr>
            <w:tcW w:w="1950" w:type="dxa"/>
            <w:shd w:val="clear" w:color="auto" w:fill="FAFAFA"/>
          </w:tcPr>
          <w:p w14:paraId="4C202B0D" w14:textId="249702AF" w:rsidR="00860F5D" w:rsidRPr="006E19EC" w:rsidRDefault="0D9D59DA"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lang w:val="en-US"/>
              </w:rPr>
              <w:lastRenderedPageBreak/>
              <w:t>The extent to which enabling environment actors use better networks, new knowledge and improved skills to provide better services to (future) MSMEs and improve policies, regulations and plans that enable sustainable PSD and address local challenges.</w:t>
            </w:r>
          </w:p>
        </w:tc>
        <w:tc>
          <w:tcPr>
            <w:tcW w:w="1873" w:type="dxa"/>
            <w:shd w:val="clear" w:color="auto" w:fill="FAFAFA"/>
          </w:tcPr>
          <w:p w14:paraId="09207D06" w14:textId="46BA5149" w:rsidR="00860F5D" w:rsidRPr="006E19EC" w:rsidRDefault="3E91F9A3"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Not applicable</w:t>
            </w:r>
          </w:p>
        </w:tc>
        <w:tc>
          <w:tcPr>
            <w:tcW w:w="1701" w:type="dxa"/>
            <w:shd w:val="clear" w:color="auto" w:fill="FAFAFA"/>
          </w:tcPr>
          <w:p w14:paraId="3E691251" w14:textId="36E23730" w:rsidR="00860F5D" w:rsidRPr="006E19EC" w:rsidRDefault="51BF60CB"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Qualitative</w:t>
            </w:r>
          </w:p>
        </w:tc>
        <w:tc>
          <w:tcPr>
            <w:tcW w:w="1134" w:type="dxa"/>
            <w:shd w:val="clear" w:color="auto" w:fill="FAFAFA"/>
          </w:tcPr>
          <w:p w14:paraId="5FF07DAC" w14:textId="649FAB09" w:rsidR="00860F5D" w:rsidRPr="006E19EC" w:rsidRDefault="6D7BEC26"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Not applicable</w:t>
            </w:r>
          </w:p>
        </w:tc>
        <w:tc>
          <w:tcPr>
            <w:tcW w:w="1134" w:type="dxa"/>
            <w:shd w:val="clear" w:color="auto" w:fill="FAFAFA"/>
          </w:tcPr>
          <w:p w14:paraId="28121DEE" w14:textId="33BC261B" w:rsidR="00860F5D" w:rsidRPr="006E19EC" w:rsidRDefault="7D08BD69"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Not applicable</w:t>
            </w:r>
          </w:p>
        </w:tc>
        <w:tc>
          <w:tcPr>
            <w:tcW w:w="4449" w:type="dxa"/>
            <w:tcBorders>
              <w:right w:val="single" w:sz="4" w:space="0" w:color="BFBFBF" w:themeColor="background1" w:themeShade="BF"/>
            </w:tcBorders>
            <w:shd w:val="clear" w:color="auto" w:fill="FAFAFA"/>
          </w:tcPr>
          <w:p w14:paraId="5A130342" w14:textId="2566BBCB" w:rsidR="00860F5D" w:rsidRPr="006E19EC" w:rsidRDefault="02DE555B"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en-US"/>
              </w:rPr>
              <w:t xml:space="preserve">Evidence from Impact Clusters via surveys, reflections, interviews with farmers, students, entrepreneurs, and so on. Enabling environment actors use this to gain new knowledge and improve their networks and skills to provide better services to (future) MSMEs. This </w:t>
            </w:r>
            <w:r w:rsidR="7842244A" w:rsidRPr="006E19EC">
              <w:rPr>
                <w:rFonts w:ascii="Verdana" w:hAnsi="Verdana" w:cs="Calibri"/>
                <w:color w:val="000000" w:themeColor="text1"/>
                <w:sz w:val="18"/>
                <w:szCs w:val="18"/>
                <w:lang w:val="en-US"/>
              </w:rPr>
              <w:t>helps</w:t>
            </w:r>
            <w:r w:rsidRPr="006E19EC">
              <w:rPr>
                <w:rFonts w:ascii="Verdana" w:hAnsi="Verdana" w:cs="Calibri"/>
                <w:color w:val="000000" w:themeColor="text1"/>
                <w:sz w:val="18"/>
                <w:szCs w:val="18"/>
                <w:lang w:val="en-US"/>
              </w:rPr>
              <w:t xml:space="preserve"> improve their policies, regulations and plans for sustainable PSD. </w:t>
            </w:r>
            <w:r w:rsidR="6CA1E2EE" w:rsidRPr="006E19EC">
              <w:rPr>
                <w:rFonts w:ascii="Verdana" w:hAnsi="Verdana" w:cs="Calibri"/>
                <w:color w:val="000000" w:themeColor="text1"/>
                <w:sz w:val="18"/>
                <w:szCs w:val="18"/>
                <w:lang w:val="nl-NL"/>
              </w:rPr>
              <w:t>It also helps them</w:t>
            </w:r>
            <w:r w:rsidRPr="006E19EC">
              <w:rPr>
                <w:rFonts w:ascii="Verdana" w:hAnsi="Verdana" w:cs="Calibri"/>
                <w:color w:val="000000" w:themeColor="text1"/>
                <w:sz w:val="18"/>
                <w:szCs w:val="18"/>
                <w:lang w:val="nl-NL"/>
              </w:rPr>
              <w:t xml:space="preserve"> handle local challenges.</w:t>
            </w:r>
          </w:p>
        </w:tc>
        <w:tc>
          <w:tcPr>
            <w:tcW w:w="1646"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AFAFA"/>
          </w:tcPr>
          <w:p w14:paraId="2670E5FA" w14:textId="77777777" w:rsidR="00860F5D" w:rsidRPr="006E19EC" w:rsidRDefault="00860F5D" w:rsidP="00860F5D">
            <w:pPr>
              <w:spacing w:after="0" w:line="200" w:lineRule="exact"/>
              <w:rPr>
                <w:rFonts w:ascii="Verdana" w:hAnsi="Verdana"/>
                <w:sz w:val="18"/>
                <w:szCs w:val="18"/>
                <w:lang w:val="en-US"/>
              </w:rPr>
            </w:pPr>
          </w:p>
        </w:tc>
        <w:tc>
          <w:tcPr>
            <w:tcW w:w="1843" w:type="dxa"/>
            <w:tcBorders>
              <w:left w:val="single" w:sz="4" w:space="0" w:color="BFBFBF" w:themeColor="background1" w:themeShade="BF"/>
            </w:tcBorders>
            <w:shd w:val="clear" w:color="auto" w:fill="FAFAFA"/>
          </w:tcPr>
          <w:p w14:paraId="543369FB" w14:textId="77777777" w:rsidR="00860F5D" w:rsidRPr="006E19EC" w:rsidRDefault="00860F5D" w:rsidP="00860F5D">
            <w:pPr>
              <w:spacing w:after="0" w:line="200" w:lineRule="exact"/>
              <w:rPr>
                <w:rFonts w:ascii="Verdana" w:hAnsi="Verdana"/>
                <w:sz w:val="18"/>
                <w:szCs w:val="18"/>
                <w:lang w:val="en-US"/>
              </w:rPr>
            </w:pPr>
          </w:p>
        </w:tc>
      </w:tr>
      <w:tr w:rsidR="00860F5D" w:rsidRPr="006E19EC" w14:paraId="7A33491E" w14:textId="77777777" w:rsidTr="005A0D56">
        <w:trPr>
          <w:trHeight w:hRule="exact" w:val="964"/>
        </w:trPr>
        <w:tc>
          <w:tcPr>
            <w:tcW w:w="1950" w:type="dxa"/>
            <w:shd w:val="clear" w:color="auto" w:fill="007BC7"/>
          </w:tcPr>
          <w:p w14:paraId="642B6A1D" w14:textId="7CFB287B" w:rsidR="00860F5D" w:rsidRPr="006E19EC" w:rsidRDefault="09CC70A9" w:rsidP="00B5144A">
            <w:pPr>
              <w:spacing w:after="0" w:line="180" w:lineRule="exact"/>
              <w:rPr>
                <w:rFonts w:ascii="Verdana" w:hAnsi="Verdana"/>
                <w:b/>
                <w:bCs/>
                <w:sz w:val="18"/>
                <w:szCs w:val="18"/>
                <w:lang w:val="en-US"/>
              </w:rPr>
            </w:pPr>
            <w:r w:rsidRPr="006E19EC">
              <w:rPr>
                <w:rFonts w:ascii="Verdana" w:hAnsi="Verdana" w:cs="Calibri"/>
                <w:b/>
                <w:bCs/>
                <w:color w:val="FFFFFF" w:themeColor="background1"/>
                <w:sz w:val="18"/>
                <w:szCs w:val="18"/>
              </w:rPr>
              <w:t xml:space="preserve">Combi </w:t>
            </w:r>
            <w:r w:rsidR="19DAF248" w:rsidRPr="006E19EC">
              <w:rPr>
                <w:rFonts w:ascii="Verdana" w:hAnsi="Verdana" w:cs="Calibri"/>
                <w:b/>
                <w:bCs/>
                <w:color w:val="FFFFFF" w:themeColor="background1"/>
                <w:sz w:val="18"/>
                <w:szCs w:val="18"/>
              </w:rPr>
              <w:t>i</w:t>
            </w:r>
            <w:r w:rsidRPr="006E19EC">
              <w:rPr>
                <w:rFonts w:ascii="Verdana" w:hAnsi="Verdana" w:cs="Calibri"/>
                <w:b/>
                <w:bCs/>
                <w:color w:val="FFFFFF" w:themeColor="background1"/>
                <w:sz w:val="18"/>
                <w:szCs w:val="18"/>
              </w:rPr>
              <w:t>ndicators (only relevant in case of a combitrack)</w:t>
            </w:r>
          </w:p>
        </w:tc>
        <w:tc>
          <w:tcPr>
            <w:tcW w:w="1873" w:type="dxa"/>
            <w:shd w:val="clear" w:color="auto" w:fill="007BC7"/>
          </w:tcPr>
          <w:p w14:paraId="7092CBD3" w14:textId="4C634481" w:rsidR="00860F5D" w:rsidRPr="006E19EC" w:rsidRDefault="51BF60CB" w:rsidP="229F99CC">
            <w:pPr>
              <w:spacing w:after="0" w:line="180" w:lineRule="exact"/>
              <w:rPr>
                <w:rFonts w:ascii="Verdana" w:hAnsi="Verdana"/>
                <w:b/>
                <w:bCs/>
                <w:sz w:val="18"/>
                <w:szCs w:val="18"/>
                <w:lang w:val="nl-NL"/>
              </w:rPr>
            </w:pPr>
            <w:r w:rsidRPr="006E19EC">
              <w:rPr>
                <w:rFonts w:ascii="Verdana" w:hAnsi="Verdana" w:cs="Calibri"/>
                <w:b/>
                <w:bCs/>
                <w:color w:val="FFFFFF" w:themeColor="background1"/>
                <w:sz w:val="18"/>
                <w:szCs w:val="18"/>
                <w:lang w:val="nl-NL"/>
              </w:rPr>
              <w:t>Disaggregation</w:t>
            </w:r>
          </w:p>
        </w:tc>
        <w:tc>
          <w:tcPr>
            <w:tcW w:w="1701" w:type="dxa"/>
            <w:shd w:val="clear" w:color="auto" w:fill="007BC7"/>
          </w:tcPr>
          <w:p w14:paraId="4AA25011" w14:textId="5744A905" w:rsidR="00860F5D" w:rsidRPr="006E19EC" w:rsidRDefault="51BF60CB" w:rsidP="229F99CC">
            <w:pPr>
              <w:spacing w:after="0" w:line="180" w:lineRule="exact"/>
              <w:rPr>
                <w:rFonts w:ascii="Verdana" w:hAnsi="Verdana"/>
                <w:b/>
                <w:bCs/>
                <w:sz w:val="18"/>
                <w:szCs w:val="18"/>
                <w:lang w:val="nl-NL"/>
              </w:rPr>
            </w:pPr>
            <w:r w:rsidRPr="006E19EC">
              <w:rPr>
                <w:rFonts w:ascii="Verdana" w:hAnsi="Verdana" w:cs="Calibri"/>
                <w:b/>
                <w:bCs/>
                <w:color w:val="FFFFFF" w:themeColor="background1"/>
                <w:sz w:val="18"/>
                <w:szCs w:val="18"/>
                <w:lang w:val="nl-NL"/>
              </w:rPr>
              <w:t>Measure</w:t>
            </w:r>
            <w:r w:rsidR="2AAE6BAE" w:rsidRPr="006E19EC">
              <w:rPr>
                <w:rFonts w:ascii="Verdana" w:hAnsi="Verdana" w:cs="Calibri"/>
                <w:b/>
                <w:bCs/>
                <w:color w:val="FFFFFF" w:themeColor="background1"/>
                <w:sz w:val="18"/>
                <w:szCs w:val="18"/>
                <w:lang w:val="nl-NL"/>
              </w:rPr>
              <w:t>ment</w:t>
            </w:r>
          </w:p>
        </w:tc>
        <w:tc>
          <w:tcPr>
            <w:tcW w:w="1134" w:type="dxa"/>
            <w:shd w:val="clear" w:color="auto" w:fill="007BC7"/>
          </w:tcPr>
          <w:p w14:paraId="4FE6841A" w14:textId="6C39ABF4" w:rsidR="00860F5D" w:rsidRPr="006E19EC" w:rsidRDefault="51BF60CB" w:rsidP="00B5144A">
            <w:pPr>
              <w:spacing w:after="0" w:line="180" w:lineRule="exact"/>
              <w:rPr>
                <w:rFonts w:ascii="Verdana" w:hAnsi="Verdana"/>
                <w:b/>
                <w:bCs/>
                <w:sz w:val="18"/>
                <w:szCs w:val="18"/>
                <w:lang w:val="en-US"/>
              </w:rPr>
            </w:pPr>
            <w:r w:rsidRPr="006E19EC">
              <w:rPr>
                <w:rFonts w:ascii="Verdana" w:hAnsi="Verdana" w:cs="Calibri"/>
                <w:b/>
                <w:bCs/>
                <w:color w:val="FFFFFF" w:themeColor="background1"/>
                <w:sz w:val="18"/>
                <w:szCs w:val="18"/>
              </w:rPr>
              <w:t>Target</w:t>
            </w:r>
          </w:p>
        </w:tc>
        <w:tc>
          <w:tcPr>
            <w:tcW w:w="1134" w:type="dxa"/>
            <w:shd w:val="clear" w:color="auto" w:fill="007BC7"/>
          </w:tcPr>
          <w:p w14:paraId="5966B0CF" w14:textId="7554AE68" w:rsidR="00860F5D" w:rsidRPr="006E19EC" w:rsidRDefault="51BF60CB" w:rsidP="229F99CC">
            <w:pPr>
              <w:spacing w:after="0" w:line="180" w:lineRule="exact"/>
              <w:rPr>
                <w:rFonts w:ascii="Verdana" w:hAnsi="Verdana"/>
                <w:b/>
                <w:bCs/>
                <w:sz w:val="18"/>
                <w:szCs w:val="18"/>
                <w:lang w:val="nl-NL"/>
              </w:rPr>
            </w:pPr>
            <w:r w:rsidRPr="006E19EC">
              <w:rPr>
                <w:rFonts w:ascii="Verdana" w:hAnsi="Verdana" w:cs="Calibri"/>
                <w:b/>
                <w:bCs/>
                <w:color w:val="FFFFFF" w:themeColor="background1"/>
                <w:sz w:val="18"/>
                <w:szCs w:val="18"/>
                <w:lang w:val="nl-NL"/>
              </w:rPr>
              <w:t>Result</w:t>
            </w:r>
          </w:p>
        </w:tc>
        <w:tc>
          <w:tcPr>
            <w:tcW w:w="4449" w:type="dxa"/>
            <w:shd w:val="clear" w:color="auto" w:fill="007BC7"/>
          </w:tcPr>
          <w:p w14:paraId="5399ED75" w14:textId="28F010EF" w:rsidR="00860F5D" w:rsidRPr="006E19EC" w:rsidRDefault="51BF60CB" w:rsidP="229F99CC">
            <w:pPr>
              <w:spacing w:after="0" w:line="180" w:lineRule="exact"/>
              <w:rPr>
                <w:rFonts w:ascii="Verdana" w:hAnsi="Verdana"/>
                <w:b/>
                <w:bCs/>
                <w:sz w:val="18"/>
                <w:szCs w:val="18"/>
                <w:lang w:val="nl-NL"/>
              </w:rPr>
            </w:pPr>
            <w:r w:rsidRPr="006E19EC">
              <w:rPr>
                <w:rFonts w:ascii="Verdana" w:hAnsi="Verdana" w:cs="Calibri"/>
                <w:b/>
                <w:bCs/>
                <w:color w:val="FFFFFF" w:themeColor="background1"/>
                <w:sz w:val="18"/>
                <w:szCs w:val="18"/>
                <w:lang w:val="nl-NL"/>
              </w:rPr>
              <w:t>Explanation</w:t>
            </w:r>
          </w:p>
        </w:tc>
        <w:tc>
          <w:tcPr>
            <w:tcW w:w="1646" w:type="dxa"/>
            <w:tcBorders>
              <w:top w:val="single" w:sz="4" w:space="0" w:color="BFBFBF" w:themeColor="background1" w:themeShade="BF"/>
              <w:bottom w:val="single" w:sz="4" w:space="0" w:color="BFBFBF" w:themeColor="background1" w:themeShade="BF"/>
            </w:tcBorders>
            <w:shd w:val="clear" w:color="auto" w:fill="007BC7"/>
          </w:tcPr>
          <w:p w14:paraId="53378FCC" w14:textId="50F78244" w:rsidR="00860F5D" w:rsidRPr="006E19EC" w:rsidRDefault="51BF60CB" w:rsidP="229F99CC">
            <w:pPr>
              <w:spacing w:after="0" w:line="180" w:lineRule="exact"/>
              <w:rPr>
                <w:rFonts w:ascii="Verdana" w:hAnsi="Verdana"/>
                <w:b/>
                <w:bCs/>
                <w:sz w:val="18"/>
                <w:szCs w:val="18"/>
                <w:lang w:val="nl-NL"/>
              </w:rPr>
            </w:pPr>
            <w:r w:rsidRPr="006E19EC">
              <w:rPr>
                <w:rFonts w:ascii="Verdana" w:hAnsi="Verdana"/>
                <w:b/>
                <w:bCs/>
                <w:color w:val="FFFFFF" w:themeColor="background1"/>
                <w:sz w:val="18"/>
                <w:szCs w:val="18"/>
                <w:lang w:val="nl-NL"/>
              </w:rPr>
              <w:t>Theme</w:t>
            </w:r>
          </w:p>
        </w:tc>
        <w:tc>
          <w:tcPr>
            <w:tcW w:w="1843" w:type="dxa"/>
            <w:shd w:val="clear" w:color="auto" w:fill="007BC7"/>
          </w:tcPr>
          <w:p w14:paraId="15946D56" w14:textId="424D4943" w:rsidR="00860F5D" w:rsidRPr="006E19EC" w:rsidRDefault="51BF60CB" w:rsidP="00B5144A">
            <w:pPr>
              <w:spacing w:after="0" w:line="180" w:lineRule="exact"/>
              <w:rPr>
                <w:rFonts w:ascii="Verdana" w:hAnsi="Verdana"/>
                <w:b/>
                <w:bCs/>
                <w:sz w:val="18"/>
                <w:szCs w:val="18"/>
                <w:lang w:val="en-US"/>
              </w:rPr>
            </w:pPr>
            <w:r w:rsidRPr="006E19EC">
              <w:rPr>
                <w:rFonts w:ascii="Verdana" w:hAnsi="Verdana"/>
                <w:b/>
                <w:bCs/>
                <w:color w:val="FFFFFF" w:themeColor="background1"/>
                <w:sz w:val="18"/>
                <w:szCs w:val="18"/>
              </w:rPr>
              <w:t>Please explain whether the indicator is applicable or not</w:t>
            </w:r>
          </w:p>
        </w:tc>
      </w:tr>
      <w:tr w:rsidR="00B5144A" w:rsidRPr="006E19EC" w14:paraId="5379539B" w14:textId="77777777" w:rsidTr="005A0D56">
        <w:trPr>
          <w:trHeight w:val="1134"/>
        </w:trPr>
        <w:tc>
          <w:tcPr>
            <w:tcW w:w="1950" w:type="dxa"/>
            <w:shd w:val="clear" w:color="auto" w:fill="EFFDE7"/>
          </w:tcPr>
          <w:p w14:paraId="1C88EBAD" w14:textId="01C7A6B0" w:rsidR="00860F5D" w:rsidRPr="006E19EC" w:rsidRDefault="51BF60CB" w:rsidP="00860F5D">
            <w:pPr>
              <w:spacing w:after="0" w:line="200" w:lineRule="exact"/>
              <w:rPr>
                <w:rFonts w:ascii="Verdana" w:hAnsi="Verdana"/>
                <w:sz w:val="18"/>
                <w:szCs w:val="18"/>
                <w:lang w:val="en-US"/>
              </w:rPr>
            </w:pPr>
            <w:bookmarkStart w:id="0" w:name="_Hlk220402915"/>
            <w:r w:rsidRPr="006E19EC">
              <w:rPr>
                <w:rFonts w:ascii="Verdana" w:hAnsi="Verdana" w:cs="Calibri"/>
                <w:color w:val="000000" w:themeColor="text1"/>
                <w:sz w:val="18"/>
                <w:szCs w:val="18"/>
                <w:lang w:val="en-US"/>
              </w:rPr>
              <w:t>The number of beneficiaries reached with measures to increase their resilience or reduce their exposure to climate change as a result of Dutch support.</w:t>
            </w:r>
          </w:p>
        </w:tc>
        <w:tc>
          <w:tcPr>
            <w:tcW w:w="1873" w:type="dxa"/>
            <w:shd w:val="clear" w:color="auto" w:fill="EFFDE7"/>
          </w:tcPr>
          <w:p w14:paraId="4BC6155A" w14:textId="10B84AA0" w:rsidR="00860F5D" w:rsidRPr="006E19EC" w:rsidRDefault="09CC70A9"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 xml:space="preserve">Women, </w:t>
            </w:r>
            <w:r w:rsidR="00860F5D" w:rsidRPr="006E19EC">
              <w:rPr>
                <w:rFonts w:ascii="Verdana" w:hAnsi="Verdana"/>
                <w:sz w:val="18"/>
                <w:szCs w:val="18"/>
              </w:rPr>
              <w:br/>
            </w:r>
            <w:r w:rsidR="3226E865" w:rsidRPr="006E19EC">
              <w:rPr>
                <w:rFonts w:ascii="Verdana" w:hAnsi="Verdana" w:cs="Calibri"/>
                <w:color w:val="000000" w:themeColor="text1"/>
                <w:sz w:val="18"/>
                <w:szCs w:val="18"/>
                <w:lang w:val="nl-NL"/>
              </w:rPr>
              <w:t>t</w:t>
            </w:r>
            <w:r w:rsidRPr="006E19EC">
              <w:rPr>
                <w:rFonts w:ascii="Verdana" w:hAnsi="Verdana" w:cs="Calibri"/>
                <w:color w:val="000000" w:themeColor="text1"/>
                <w:sz w:val="18"/>
                <w:szCs w:val="18"/>
                <w:lang w:val="nl-NL"/>
              </w:rPr>
              <w:t>otal</w:t>
            </w:r>
          </w:p>
        </w:tc>
        <w:tc>
          <w:tcPr>
            <w:tcW w:w="1701" w:type="dxa"/>
            <w:shd w:val="clear" w:color="auto" w:fill="EFFDE7"/>
          </w:tcPr>
          <w:p w14:paraId="092DFECE" w14:textId="7989736E" w:rsidR="00860F5D" w:rsidRPr="006E19EC" w:rsidRDefault="4DCEB249"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Quantitative</w:t>
            </w:r>
          </w:p>
        </w:tc>
        <w:tc>
          <w:tcPr>
            <w:tcW w:w="1134" w:type="dxa"/>
            <w:shd w:val="clear" w:color="auto" w:fill="EFFDE7"/>
          </w:tcPr>
          <w:p w14:paraId="4494E7E6" w14:textId="5F54D105"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 </w:t>
            </w:r>
          </w:p>
        </w:tc>
        <w:tc>
          <w:tcPr>
            <w:tcW w:w="1134" w:type="dxa"/>
            <w:shd w:val="clear" w:color="auto" w:fill="EFFDE7"/>
          </w:tcPr>
          <w:p w14:paraId="1F912BD6" w14:textId="5D0A71AC"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 </w:t>
            </w:r>
          </w:p>
        </w:tc>
        <w:tc>
          <w:tcPr>
            <w:tcW w:w="4449" w:type="dxa"/>
            <w:tcBorders>
              <w:right w:val="single" w:sz="4" w:space="0" w:color="BFBFBF" w:themeColor="background1" w:themeShade="BF"/>
            </w:tcBorders>
            <w:shd w:val="clear" w:color="auto" w:fill="FFEEDD"/>
          </w:tcPr>
          <w:p w14:paraId="052B2384" w14:textId="15BAD4C9" w:rsidR="00860F5D" w:rsidRPr="006E19EC" w:rsidRDefault="09CC70A9" w:rsidP="2F42B90D">
            <w:pPr>
              <w:spacing w:after="0" w:line="200" w:lineRule="exact"/>
              <w:rPr>
                <w:rFonts w:ascii="Verdana" w:hAnsi="Verdana" w:cs="Calibri"/>
                <w:color w:val="000000" w:themeColor="text1"/>
                <w:sz w:val="18"/>
                <w:szCs w:val="18"/>
                <w:lang w:val="en-US"/>
              </w:rPr>
            </w:pPr>
            <w:r w:rsidRPr="006E19EC">
              <w:rPr>
                <w:rFonts w:ascii="Verdana" w:hAnsi="Verdana" w:cs="Calibri"/>
                <w:color w:val="000000" w:themeColor="text1"/>
                <w:sz w:val="18"/>
                <w:szCs w:val="18"/>
                <w:lang w:val="en-US"/>
              </w:rPr>
              <w:t>This indicator tracks the number of people in the target country</w:t>
            </w:r>
            <w:r w:rsidR="384EB4FD" w:rsidRPr="006E19EC">
              <w:rPr>
                <w:rFonts w:ascii="Verdana" w:hAnsi="Verdana" w:cs="Calibri"/>
                <w:color w:val="000000" w:themeColor="text1"/>
                <w:sz w:val="18"/>
                <w:szCs w:val="18"/>
                <w:lang w:val="en-US"/>
              </w:rPr>
              <w:t xml:space="preserve"> </w:t>
            </w:r>
            <w:r w:rsidRPr="006E19EC">
              <w:rPr>
                <w:rFonts w:ascii="Verdana" w:hAnsi="Verdana" w:cs="Calibri"/>
                <w:color w:val="000000" w:themeColor="text1"/>
                <w:sz w:val="18"/>
                <w:szCs w:val="18"/>
                <w:lang w:val="en-US"/>
              </w:rPr>
              <w:t xml:space="preserve">experiencing resilience or reduced exposure to climate change. It concerns changes due to Dutch support via </w:t>
            </w:r>
            <w:r w:rsidR="36A67784" w:rsidRPr="006E19EC">
              <w:rPr>
                <w:rFonts w:ascii="Verdana" w:hAnsi="Verdana" w:cs="Calibri"/>
                <w:color w:val="000000" w:themeColor="text1"/>
                <w:sz w:val="18"/>
                <w:szCs w:val="18"/>
                <w:lang w:val="en-US"/>
              </w:rPr>
              <w:t xml:space="preserve">a </w:t>
            </w:r>
            <w:r w:rsidRPr="006E19EC">
              <w:rPr>
                <w:rFonts w:ascii="Verdana" w:hAnsi="Verdana" w:cs="Calibri"/>
                <w:color w:val="000000" w:themeColor="text1"/>
                <w:sz w:val="18"/>
                <w:szCs w:val="18"/>
                <w:lang w:val="en-US"/>
              </w:rPr>
              <w:t>combitrack.</w:t>
            </w:r>
            <w:r w:rsidR="00860F5D" w:rsidRPr="006E19EC">
              <w:rPr>
                <w:rFonts w:ascii="Verdana" w:hAnsi="Verdana"/>
                <w:sz w:val="18"/>
                <w:szCs w:val="18"/>
              </w:rPr>
              <w:br/>
            </w:r>
            <w:r w:rsidR="00860F5D" w:rsidRPr="006E19EC">
              <w:rPr>
                <w:rFonts w:ascii="Verdana" w:hAnsi="Verdana"/>
                <w:sz w:val="18"/>
                <w:szCs w:val="18"/>
              </w:rPr>
              <w:br/>
            </w:r>
            <w:r w:rsidRPr="006E19EC">
              <w:rPr>
                <w:rFonts w:ascii="Verdana" w:hAnsi="Verdana" w:cs="Calibri"/>
                <w:color w:val="000000" w:themeColor="text1"/>
                <w:sz w:val="18"/>
                <w:szCs w:val="18"/>
                <w:lang w:val="en-US"/>
              </w:rPr>
              <w:t xml:space="preserve">Climate change adaptation aims to reduce the vulnerability of human or natural systems </w:t>
            </w:r>
            <w:r w:rsidR="1F71CD87" w:rsidRPr="006E19EC">
              <w:rPr>
                <w:rFonts w:ascii="Verdana" w:hAnsi="Verdana" w:cs="Calibri"/>
                <w:color w:val="000000" w:themeColor="text1"/>
                <w:sz w:val="18"/>
                <w:szCs w:val="18"/>
                <w:lang w:val="en-US"/>
              </w:rPr>
              <w:t>to current</w:t>
            </w:r>
            <w:r w:rsidRPr="006E19EC">
              <w:rPr>
                <w:rFonts w:ascii="Verdana" w:hAnsi="Verdana" w:cs="Calibri"/>
                <w:color w:val="000000" w:themeColor="text1"/>
                <w:sz w:val="18"/>
                <w:szCs w:val="18"/>
                <w:lang w:val="en-US"/>
              </w:rPr>
              <w:t xml:space="preserve"> and expected impacts. This includes maintaining or increasing resilience through increased ability to adapt to or absorb climate change stresses, shocks and variability by helping </w:t>
            </w:r>
            <w:r w:rsidR="4B42961D" w:rsidRPr="006E19EC">
              <w:rPr>
                <w:rFonts w:ascii="Verdana" w:hAnsi="Verdana" w:cs="Calibri"/>
                <w:color w:val="000000" w:themeColor="text1"/>
                <w:sz w:val="18"/>
                <w:szCs w:val="18"/>
                <w:lang w:val="en-US"/>
              </w:rPr>
              <w:t xml:space="preserve">to </w:t>
            </w:r>
            <w:r w:rsidRPr="006E19EC">
              <w:rPr>
                <w:rFonts w:ascii="Verdana" w:hAnsi="Verdana" w:cs="Calibri"/>
                <w:color w:val="000000" w:themeColor="text1"/>
                <w:sz w:val="18"/>
                <w:szCs w:val="18"/>
                <w:lang w:val="en-US"/>
              </w:rPr>
              <w:t>reduce exposure.</w:t>
            </w:r>
            <w:r w:rsidR="00860F5D" w:rsidRPr="006E19EC">
              <w:rPr>
                <w:rFonts w:ascii="Verdana" w:hAnsi="Verdana"/>
                <w:sz w:val="18"/>
                <w:szCs w:val="18"/>
              </w:rPr>
              <w:br/>
            </w:r>
          </w:p>
          <w:p w14:paraId="46986F0E" w14:textId="307E03B8" w:rsidR="00860F5D" w:rsidRPr="006E19EC" w:rsidRDefault="63E97E57" w:rsidP="00860F5D">
            <w:pPr>
              <w:spacing w:after="0" w:line="200" w:lineRule="exact"/>
              <w:rPr>
                <w:rFonts w:ascii="Verdana" w:hAnsi="Verdana" w:cs="Calibri"/>
                <w:color w:val="000000"/>
                <w:sz w:val="18"/>
                <w:szCs w:val="18"/>
                <w:lang w:val="en-US"/>
              </w:rPr>
            </w:pPr>
            <w:r w:rsidRPr="006E19EC">
              <w:rPr>
                <w:rFonts w:ascii="Verdana" w:hAnsi="Verdana" w:cs="Calibri"/>
                <w:color w:val="000000" w:themeColor="text1"/>
                <w:sz w:val="18"/>
                <w:szCs w:val="18"/>
                <w:lang w:val="en-US"/>
              </w:rPr>
              <w:t>Dutch support: Support given by a Dutch company or organisation in the target country via defined combitrack activities.</w:t>
            </w:r>
          </w:p>
          <w:p w14:paraId="1F4B7CF2" w14:textId="60E95642" w:rsidR="00B5144A" w:rsidRPr="006E19EC" w:rsidRDefault="00B5144A" w:rsidP="00B5144A">
            <w:pPr>
              <w:tabs>
                <w:tab w:val="left" w:pos="3495"/>
              </w:tabs>
              <w:rPr>
                <w:rFonts w:ascii="Verdana" w:hAnsi="Verdana"/>
                <w:sz w:val="18"/>
                <w:szCs w:val="18"/>
                <w:lang w:val="en-US"/>
              </w:rPr>
            </w:pPr>
            <w:r w:rsidRPr="006E19EC">
              <w:rPr>
                <w:rFonts w:ascii="Verdana" w:hAnsi="Verdana"/>
                <w:sz w:val="18"/>
                <w:szCs w:val="18"/>
                <w:lang w:val="en-US"/>
              </w:rPr>
              <w:tab/>
            </w:r>
          </w:p>
        </w:tc>
        <w:tc>
          <w:tcPr>
            <w:tcW w:w="164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EFFDE7"/>
          </w:tcPr>
          <w:p w14:paraId="2E051F57" w14:textId="77777777" w:rsidR="00860F5D" w:rsidRPr="006E19EC" w:rsidRDefault="00860F5D" w:rsidP="00860F5D">
            <w:pPr>
              <w:spacing w:after="0" w:line="200" w:lineRule="exact"/>
              <w:rPr>
                <w:rFonts w:ascii="Verdana" w:hAnsi="Verdana"/>
                <w:sz w:val="18"/>
                <w:szCs w:val="18"/>
                <w:lang w:val="en-US"/>
              </w:rPr>
            </w:pPr>
          </w:p>
        </w:tc>
        <w:tc>
          <w:tcPr>
            <w:tcW w:w="1843" w:type="dxa"/>
            <w:tcBorders>
              <w:left w:val="single" w:sz="4" w:space="0" w:color="BFBFBF" w:themeColor="background1" w:themeShade="BF"/>
            </w:tcBorders>
            <w:shd w:val="clear" w:color="auto" w:fill="EFFDE7"/>
          </w:tcPr>
          <w:p w14:paraId="159014C4" w14:textId="77777777" w:rsidR="00860F5D" w:rsidRPr="006E19EC" w:rsidRDefault="00860F5D" w:rsidP="00860F5D">
            <w:pPr>
              <w:spacing w:after="0" w:line="200" w:lineRule="exact"/>
              <w:rPr>
                <w:rFonts w:ascii="Verdana" w:hAnsi="Verdana"/>
                <w:sz w:val="18"/>
                <w:szCs w:val="18"/>
                <w:lang w:val="en-US"/>
              </w:rPr>
            </w:pPr>
          </w:p>
        </w:tc>
      </w:tr>
      <w:tr w:rsidR="00B5144A" w:rsidRPr="006E19EC" w14:paraId="379B3825" w14:textId="77777777" w:rsidTr="005A0D56">
        <w:trPr>
          <w:trHeight w:val="1134"/>
        </w:trPr>
        <w:tc>
          <w:tcPr>
            <w:tcW w:w="1950" w:type="dxa"/>
            <w:shd w:val="clear" w:color="auto" w:fill="EFFDE7"/>
          </w:tcPr>
          <w:p w14:paraId="7089482F" w14:textId="4102F991" w:rsidR="00860F5D" w:rsidRPr="006E19EC" w:rsidRDefault="09CC70A9"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lang w:val="en-US"/>
              </w:rPr>
              <w:t xml:space="preserve">Hectares of land under sustainable management or other improved practices that contribute to the ecosystem's increased adaptive capacity (including forests, farmland </w:t>
            </w:r>
            <w:r w:rsidRPr="006E19EC">
              <w:rPr>
                <w:rFonts w:ascii="Verdana" w:hAnsi="Verdana" w:cs="Calibri"/>
                <w:color w:val="000000" w:themeColor="text1"/>
                <w:sz w:val="18"/>
                <w:szCs w:val="18"/>
                <w:lang w:val="en-US"/>
              </w:rPr>
              <w:lastRenderedPageBreak/>
              <w:t xml:space="preserve">and river basins/deltas) </w:t>
            </w:r>
            <w:r w:rsidR="7AD33505" w:rsidRPr="006E19EC">
              <w:rPr>
                <w:rFonts w:ascii="Verdana" w:hAnsi="Verdana" w:cs="Calibri"/>
                <w:color w:val="000000" w:themeColor="text1"/>
                <w:sz w:val="18"/>
                <w:szCs w:val="18"/>
                <w:lang w:val="en-US"/>
              </w:rPr>
              <w:t>as a result of</w:t>
            </w:r>
            <w:r w:rsidRPr="006E19EC">
              <w:rPr>
                <w:rFonts w:ascii="Verdana" w:hAnsi="Verdana" w:cs="Calibri"/>
                <w:color w:val="000000" w:themeColor="text1"/>
                <w:sz w:val="18"/>
                <w:szCs w:val="18"/>
                <w:lang w:val="en-US"/>
              </w:rPr>
              <w:t xml:space="preserve"> Dutch support.</w:t>
            </w:r>
          </w:p>
        </w:tc>
        <w:tc>
          <w:tcPr>
            <w:tcW w:w="1873" w:type="dxa"/>
            <w:shd w:val="clear" w:color="auto" w:fill="EFFDE7"/>
          </w:tcPr>
          <w:p w14:paraId="5DA31BF9" w14:textId="79408E51"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lastRenderedPageBreak/>
              <w:t> </w:t>
            </w:r>
          </w:p>
        </w:tc>
        <w:tc>
          <w:tcPr>
            <w:tcW w:w="1701" w:type="dxa"/>
            <w:shd w:val="clear" w:color="auto" w:fill="EFFDE7"/>
          </w:tcPr>
          <w:p w14:paraId="557504AF" w14:textId="45BB6113" w:rsidR="00860F5D" w:rsidRPr="006E19EC" w:rsidRDefault="7E452ED8"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Quantitative</w:t>
            </w:r>
          </w:p>
        </w:tc>
        <w:tc>
          <w:tcPr>
            <w:tcW w:w="1134" w:type="dxa"/>
            <w:shd w:val="clear" w:color="auto" w:fill="EFFDE7"/>
          </w:tcPr>
          <w:p w14:paraId="054196A1" w14:textId="6B939C4F"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 </w:t>
            </w:r>
          </w:p>
        </w:tc>
        <w:tc>
          <w:tcPr>
            <w:tcW w:w="1134" w:type="dxa"/>
            <w:shd w:val="clear" w:color="auto" w:fill="EFFDE7"/>
          </w:tcPr>
          <w:p w14:paraId="403C44ED" w14:textId="749DF12E"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 </w:t>
            </w:r>
          </w:p>
        </w:tc>
        <w:tc>
          <w:tcPr>
            <w:tcW w:w="4449" w:type="dxa"/>
            <w:tcBorders>
              <w:right w:val="single" w:sz="4" w:space="0" w:color="BFBFBF" w:themeColor="background1" w:themeShade="BF"/>
            </w:tcBorders>
            <w:shd w:val="clear" w:color="auto" w:fill="FFEEDD"/>
          </w:tcPr>
          <w:p w14:paraId="632D18E7" w14:textId="74B75A31" w:rsidR="00860F5D" w:rsidRPr="006E19EC" w:rsidRDefault="58D8C5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lang w:val="en-US"/>
              </w:rPr>
              <w:t>This indicator tracks the number of hectares of land reached with interventions aiming to increase biodiversity or decrease biodiversity loss.</w:t>
            </w:r>
            <w:r w:rsidR="00860F5D" w:rsidRPr="006E19EC">
              <w:rPr>
                <w:rFonts w:ascii="Verdana" w:hAnsi="Verdana"/>
                <w:sz w:val="18"/>
                <w:szCs w:val="18"/>
              </w:rPr>
              <w:br/>
            </w:r>
            <w:r w:rsidR="00860F5D" w:rsidRPr="006E19EC">
              <w:rPr>
                <w:rFonts w:ascii="Verdana" w:hAnsi="Verdana"/>
                <w:sz w:val="18"/>
                <w:szCs w:val="18"/>
              </w:rPr>
              <w:br/>
            </w:r>
            <w:r w:rsidRPr="006E19EC">
              <w:rPr>
                <w:rFonts w:ascii="Verdana" w:hAnsi="Verdana" w:cs="Calibri"/>
                <w:color w:val="000000" w:themeColor="text1"/>
                <w:sz w:val="18"/>
                <w:szCs w:val="18"/>
                <w:lang w:val="en-US"/>
              </w:rPr>
              <w:t xml:space="preserve">Adaptive capacity: the potential or ability of a system, region, or community to adapt to the effects or impacts of climate change. </w:t>
            </w:r>
            <w:r w:rsidR="4A56468D" w:rsidRPr="006E19EC">
              <w:rPr>
                <w:rFonts w:ascii="Verdana" w:hAnsi="Verdana" w:cs="Calibri"/>
                <w:color w:val="000000" w:themeColor="text1"/>
                <w:sz w:val="18"/>
                <w:szCs w:val="18"/>
                <w:lang w:val="en-US"/>
              </w:rPr>
              <w:t>Improving</w:t>
            </w:r>
            <w:r w:rsidRPr="006E19EC">
              <w:rPr>
                <w:rFonts w:ascii="Verdana" w:hAnsi="Verdana" w:cs="Calibri"/>
                <w:color w:val="000000" w:themeColor="text1"/>
                <w:sz w:val="18"/>
                <w:szCs w:val="18"/>
                <w:lang w:val="en-US"/>
              </w:rPr>
              <w:t xml:space="preserve"> adaptive capacity represents a practical means of coping with changes and </w:t>
            </w:r>
            <w:r w:rsidRPr="006E19EC">
              <w:rPr>
                <w:rFonts w:ascii="Verdana" w:hAnsi="Verdana" w:cs="Calibri"/>
                <w:color w:val="000000" w:themeColor="text1"/>
                <w:sz w:val="18"/>
                <w:szCs w:val="18"/>
                <w:lang w:val="en-US"/>
              </w:rPr>
              <w:lastRenderedPageBreak/>
              <w:t>uncertainties in climate, including variability and extremes (IPCC).</w:t>
            </w:r>
            <w:r w:rsidR="00860F5D" w:rsidRPr="006E19EC">
              <w:rPr>
                <w:rFonts w:ascii="Verdana" w:hAnsi="Verdana"/>
                <w:sz w:val="18"/>
                <w:szCs w:val="18"/>
              </w:rPr>
              <w:br/>
            </w:r>
            <w:r w:rsidR="00860F5D" w:rsidRPr="006E19EC">
              <w:rPr>
                <w:rFonts w:ascii="Verdana" w:hAnsi="Verdana"/>
                <w:sz w:val="18"/>
                <w:szCs w:val="18"/>
              </w:rPr>
              <w:br/>
            </w:r>
            <w:r w:rsidRPr="006E19EC">
              <w:rPr>
                <w:rFonts w:ascii="Verdana" w:hAnsi="Verdana" w:cs="Calibri"/>
                <w:color w:val="000000" w:themeColor="text1"/>
                <w:sz w:val="18"/>
                <w:szCs w:val="18"/>
                <w:lang w:val="en-US"/>
              </w:rPr>
              <w:t>Ecosystem: a system in which living things (plants, animals, bacteria and so on) and their non-living surroundings interact as a functional unit (EU).</w:t>
            </w:r>
            <w:r w:rsidR="00860F5D" w:rsidRPr="006E19EC">
              <w:rPr>
                <w:rFonts w:ascii="Verdana" w:hAnsi="Verdana"/>
                <w:sz w:val="18"/>
                <w:szCs w:val="18"/>
              </w:rPr>
              <w:br/>
            </w:r>
            <w:r w:rsidR="00860F5D" w:rsidRPr="006E19EC">
              <w:rPr>
                <w:rFonts w:ascii="Verdana" w:hAnsi="Verdana"/>
                <w:sz w:val="18"/>
                <w:szCs w:val="18"/>
              </w:rPr>
              <w:br/>
            </w:r>
            <w:r w:rsidRPr="006E19EC">
              <w:rPr>
                <w:rFonts w:ascii="Verdana" w:hAnsi="Verdana" w:cs="Calibri"/>
                <w:color w:val="000000" w:themeColor="text1"/>
                <w:sz w:val="18"/>
                <w:szCs w:val="18"/>
                <w:lang w:val="en-US"/>
              </w:rPr>
              <w:t>Dutch support: Support given by a Dutch company or organisation via defined combitrack activities in the target country.</w:t>
            </w:r>
          </w:p>
        </w:tc>
        <w:tc>
          <w:tcPr>
            <w:tcW w:w="1646" w:type="dxa"/>
            <w:tcBorders>
              <w:top w:val="nil"/>
              <w:left w:val="single" w:sz="4" w:space="0" w:color="BFBFBF" w:themeColor="background1" w:themeShade="BF"/>
              <w:bottom w:val="nil"/>
              <w:right w:val="single" w:sz="4" w:space="0" w:color="BFBFBF" w:themeColor="background1" w:themeShade="BF"/>
            </w:tcBorders>
            <w:shd w:val="clear" w:color="auto" w:fill="EFFDE7"/>
          </w:tcPr>
          <w:p w14:paraId="542149D5" w14:textId="77777777" w:rsidR="00860F5D" w:rsidRPr="006E19EC" w:rsidRDefault="00860F5D" w:rsidP="00860F5D">
            <w:pPr>
              <w:spacing w:after="0" w:line="200" w:lineRule="exact"/>
              <w:rPr>
                <w:rFonts w:ascii="Verdana" w:hAnsi="Verdana"/>
                <w:sz w:val="18"/>
                <w:szCs w:val="18"/>
                <w:lang w:val="en-US"/>
              </w:rPr>
            </w:pPr>
          </w:p>
        </w:tc>
        <w:tc>
          <w:tcPr>
            <w:tcW w:w="1843" w:type="dxa"/>
            <w:tcBorders>
              <w:left w:val="single" w:sz="4" w:space="0" w:color="BFBFBF" w:themeColor="background1" w:themeShade="BF"/>
            </w:tcBorders>
            <w:shd w:val="clear" w:color="auto" w:fill="EFFDE7"/>
          </w:tcPr>
          <w:p w14:paraId="1C1A4A25" w14:textId="77777777" w:rsidR="00860F5D" w:rsidRPr="006E19EC" w:rsidRDefault="00860F5D" w:rsidP="00860F5D">
            <w:pPr>
              <w:spacing w:after="0" w:line="200" w:lineRule="exact"/>
              <w:rPr>
                <w:rFonts w:ascii="Verdana" w:hAnsi="Verdana"/>
                <w:sz w:val="18"/>
                <w:szCs w:val="18"/>
                <w:lang w:val="en-US"/>
              </w:rPr>
            </w:pPr>
          </w:p>
        </w:tc>
      </w:tr>
      <w:tr w:rsidR="00B5144A" w:rsidRPr="006E19EC" w14:paraId="3831F4B1" w14:textId="77777777" w:rsidTr="005A0D56">
        <w:trPr>
          <w:trHeight w:val="1134"/>
        </w:trPr>
        <w:tc>
          <w:tcPr>
            <w:tcW w:w="1950" w:type="dxa"/>
            <w:shd w:val="clear" w:color="auto" w:fill="EFFDE7"/>
          </w:tcPr>
          <w:p w14:paraId="58C5C0F3" w14:textId="47951667" w:rsidR="00860F5D" w:rsidRPr="006E19EC" w:rsidRDefault="09CC70A9"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The number of direct</w:t>
            </w:r>
            <w:r w:rsidR="628AA0A4" w:rsidRPr="006E19EC">
              <w:rPr>
                <w:rFonts w:ascii="Verdana" w:hAnsi="Verdana" w:cs="Calibri"/>
                <w:color w:val="000000" w:themeColor="text1"/>
                <w:sz w:val="18"/>
                <w:szCs w:val="18"/>
              </w:rPr>
              <w:t>ly supported</w:t>
            </w:r>
            <w:r w:rsidRPr="006E19EC">
              <w:rPr>
                <w:rFonts w:ascii="Verdana" w:hAnsi="Verdana" w:cs="Calibri"/>
                <w:color w:val="000000" w:themeColor="text1"/>
                <w:sz w:val="18"/>
                <w:szCs w:val="18"/>
              </w:rPr>
              <w:t xml:space="preserve"> beneficiaries </w:t>
            </w:r>
            <w:r w:rsidR="4CC7117F" w:rsidRPr="006E19EC">
              <w:rPr>
                <w:rFonts w:ascii="Verdana" w:hAnsi="Verdana" w:cs="Calibri"/>
                <w:color w:val="000000" w:themeColor="text1"/>
                <w:sz w:val="18"/>
                <w:szCs w:val="18"/>
              </w:rPr>
              <w:t>with increased</w:t>
            </w:r>
            <w:r w:rsidRPr="006E19EC">
              <w:rPr>
                <w:rFonts w:ascii="Verdana" w:hAnsi="Verdana" w:cs="Calibri"/>
                <w:color w:val="000000" w:themeColor="text1"/>
                <w:sz w:val="18"/>
                <w:szCs w:val="18"/>
              </w:rPr>
              <w:t xml:space="preserve"> incomes.</w:t>
            </w:r>
          </w:p>
        </w:tc>
        <w:tc>
          <w:tcPr>
            <w:tcW w:w="1873" w:type="dxa"/>
            <w:shd w:val="clear" w:color="auto" w:fill="EFFDE7"/>
          </w:tcPr>
          <w:p w14:paraId="35881E7E" w14:textId="72526815" w:rsidR="00860F5D" w:rsidRPr="006E19EC" w:rsidRDefault="09CC70A9"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 xml:space="preserve">Women, </w:t>
            </w:r>
            <w:r w:rsidR="00860F5D" w:rsidRPr="006E19EC">
              <w:rPr>
                <w:rFonts w:ascii="Verdana" w:hAnsi="Verdana"/>
                <w:sz w:val="18"/>
                <w:szCs w:val="18"/>
              </w:rPr>
              <w:br/>
            </w:r>
            <w:r w:rsidR="48D5EA35" w:rsidRPr="006E19EC">
              <w:rPr>
                <w:rFonts w:ascii="Verdana" w:hAnsi="Verdana" w:cs="Calibri"/>
                <w:color w:val="000000" w:themeColor="text1"/>
                <w:sz w:val="18"/>
                <w:szCs w:val="18"/>
                <w:lang w:val="nl-NL"/>
              </w:rPr>
              <w:t>y</w:t>
            </w:r>
            <w:r w:rsidRPr="006E19EC">
              <w:rPr>
                <w:rFonts w:ascii="Verdana" w:hAnsi="Verdana" w:cs="Calibri"/>
                <w:color w:val="000000" w:themeColor="text1"/>
                <w:sz w:val="18"/>
                <w:szCs w:val="18"/>
                <w:lang w:val="nl-NL"/>
              </w:rPr>
              <w:t xml:space="preserve">outh (18-35), </w:t>
            </w:r>
            <w:r w:rsidR="00860F5D" w:rsidRPr="006E19EC">
              <w:rPr>
                <w:rFonts w:ascii="Verdana" w:hAnsi="Verdana"/>
                <w:sz w:val="18"/>
                <w:szCs w:val="18"/>
              </w:rPr>
              <w:br/>
            </w:r>
            <w:r w:rsidR="5377DC8E" w:rsidRPr="006E19EC">
              <w:rPr>
                <w:rFonts w:ascii="Verdana" w:hAnsi="Verdana" w:cs="Calibri"/>
                <w:color w:val="000000" w:themeColor="text1"/>
                <w:sz w:val="18"/>
                <w:szCs w:val="18"/>
                <w:lang w:val="nl-NL"/>
              </w:rPr>
              <w:t>t</w:t>
            </w:r>
            <w:r w:rsidRPr="006E19EC">
              <w:rPr>
                <w:rFonts w:ascii="Verdana" w:hAnsi="Verdana" w:cs="Calibri"/>
                <w:color w:val="000000" w:themeColor="text1"/>
                <w:sz w:val="18"/>
                <w:szCs w:val="18"/>
                <w:lang w:val="nl-NL"/>
              </w:rPr>
              <w:t>otal</w:t>
            </w:r>
          </w:p>
        </w:tc>
        <w:tc>
          <w:tcPr>
            <w:tcW w:w="1701" w:type="dxa"/>
            <w:shd w:val="clear" w:color="auto" w:fill="EFFDE7"/>
          </w:tcPr>
          <w:p w14:paraId="4206970C" w14:textId="2EB2856F" w:rsidR="00860F5D" w:rsidRPr="006E19EC" w:rsidRDefault="13175FF5"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Quantitative</w:t>
            </w:r>
          </w:p>
        </w:tc>
        <w:tc>
          <w:tcPr>
            <w:tcW w:w="1134" w:type="dxa"/>
            <w:shd w:val="clear" w:color="auto" w:fill="EFFDE7"/>
          </w:tcPr>
          <w:p w14:paraId="11DD87F2" w14:textId="233ACF95"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 </w:t>
            </w:r>
          </w:p>
        </w:tc>
        <w:tc>
          <w:tcPr>
            <w:tcW w:w="1134" w:type="dxa"/>
            <w:shd w:val="clear" w:color="auto" w:fill="EFFDE7"/>
          </w:tcPr>
          <w:p w14:paraId="7AB5078E" w14:textId="2F6E37E7"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 </w:t>
            </w:r>
          </w:p>
        </w:tc>
        <w:tc>
          <w:tcPr>
            <w:tcW w:w="4449" w:type="dxa"/>
            <w:tcBorders>
              <w:right w:val="single" w:sz="4" w:space="0" w:color="BFBFBF" w:themeColor="background1" w:themeShade="BF"/>
            </w:tcBorders>
            <w:shd w:val="clear" w:color="auto" w:fill="FFEEDD"/>
          </w:tcPr>
          <w:p w14:paraId="0DEFDF14" w14:textId="48A18B73" w:rsidR="00860F5D" w:rsidRPr="006E19EC" w:rsidRDefault="31983580"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lang w:val="en-US"/>
              </w:rPr>
              <w:t>The number of directly supported individuals with a documented, relative income increase between baseline and successive reporting periods. Collect this information by asking people to record information in financial diaries. For example, the number of transactions and the commission earned per transaction</w:t>
            </w:r>
            <w:r w:rsidR="361ECDC7" w:rsidRPr="006E19EC">
              <w:rPr>
                <w:rFonts w:ascii="Verdana" w:hAnsi="Verdana" w:cs="Calibri"/>
                <w:color w:val="000000" w:themeColor="text1"/>
                <w:sz w:val="18"/>
                <w:szCs w:val="18"/>
                <w:lang w:val="en-US"/>
              </w:rPr>
              <w:t>,</w:t>
            </w:r>
            <w:r w:rsidRPr="006E19EC">
              <w:rPr>
                <w:rFonts w:ascii="Verdana" w:hAnsi="Verdana" w:cs="Calibri"/>
                <w:color w:val="000000" w:themeColor="text1"/>
                <w:sz w:val="18"/>
                <w:szCs w:val="18"/>
                <w:lang w:val="en-US"/>
              </w:rPr>
              <w:t xml:space="preserve"> </w:t>
            </w:r>
            <w:r w:rsidR="26C3A846" w:rsidRPr="006E19EC">
              <w:rPr>
                <w:rFonts w:ascii="Verdana" w:hAnsi="Verdana" w:cs="Calibri"/>
                <w:color w:val="000000" w:themeColor="text1"/>
                <w:sz w:val="18"/>
                <w:szCs w:val="18"/>
                <w:lang w:val="en-US"/>
              </w:rPr>
              <w:t>or before</w:t>
            </w:r>
            <w:r w:rsidRPr="006E19EC">
              <w:rPr>
                <w:rFonts w:ascii="Verdana" w:hAnsi="Verdana" w:cs="Calibri"/>
                <w:color w:val="000000" w:themeColor="text1"/>
                <w:sz w:val="18"/>
                <w:szCs w:val="18"/>
                <w:lang w:val="en-US"/>
              </w:rPr>
              <w:t>/after surveys.</w:t>
            </w:r>
            <w:r w:rsidR="00860F5D" w:rsidRPr="006E19EC">
              <w:rPr>
                <w:rFonts w:ascii="Verdana" w:hAnsi="Verdana"/>
                <w:sz w:val="18"/>
                <w:szCs w:val="18"/>
              </w:rPr>
              <w:br/>
            </w:r>
            <w:r w:rsidR="00860F5D" w:rsidRPr="006E19EC">
              <w:rPr>
                <w:rFonts w:ascii="Verdana" w:hAnsi="Verdana"/>
                <w:sz w:val="18"/>
                <w:szCs w:val="18"/>
              </w:rPr>
              <w:br/>
            </w:r>
            <w:r w:rsidR="5C6D924E" w:rsidRPr="006E19EC">
              <w:rPr>
                <w:rFonts w:ascii="Verdana" w:hAnsi="Verdana" w:cs="Calibri"/>
                <w:color w:val="000000" w:themeColor="text1"/>
                <w:sz w:val="18"/>
                <w:szCs w:val="18"/>
                <w:lang w:val="en-US"/>
              </w:rPr>
              <w:t>If resources are limited</w:t>
            </w:r>
            <w:r w:rsidRPr="006E19EC">
              <w:rPr>
                <w:rFonts w:ascii="Verdana" w:hAnsi="Verdana" w:cs="Calibri"/>
                <w:color w:val="000000" w:themeColor="text1"/>
                <w:sz w:val="18"/>
                <w:szCs w:val="18"/>
                <w:lang w:val="en-US"/>
              </w:rPr>
              <w:t xml:space="preserve">, PSD actors can collect data at the start (baseline) and end (ending) of the intervention or investment. A mid-term, </w:t>
            </w:r>
            <w:r w:rsidR="37E0E3E2" w:rsidRPr="006E19EC">
              <w:rPr>
                <w:rFonts w:ascii="Verdana" w:hAnsi="Verdana" w:cs="Calibri"/>
                <w:color w:val="000000" w:themeColor="text1"/>
                <w:sz w:val="18"/>
                <w:szCs w:val="18"/>
                <w:lang w:val="en-US"/>
              </w:rPr>
              <w:t>smaller</w:t>
            </w:r>
            <w:r w:rsidRPr="006E19EC">
              <w:rPr>
                <w:rFonts w:ascii="Verdana" w:hAnsi="Verdana" w:cs="Calibri"/>
                <w:color w:val="000000" w:themeColor="text1"/>
                <w:sz w:val="18"/>
                <w:szCs w:val="18"/>
                <w:lang w:val="en-US"/>
              </w:rPr>
              <w:t xml:space="preserve"> data collection effort may be considered to keep track, especially for longer-term interventions or investments.</w:t>
            </w:r>
          </w:p>
        </w:tc>
        <w:tc>
          <w:tcPr>
            <w:tcW w:w="1646" w:type="dxa"/>
            <w:tcBorders>
              <w:top w:val="nil"/>
              <w:left w:val="single" w:sz="4" w:space="0" w:color="BFBFBF" w:themeColor="background1" w:themeShade="BF"/>
              <w:bottom w:val="nil"/>
              <w:right w:val="single" w:sz="4" w:space="0" w:color="BFBFBF" w:themeColor="background1" w:themeShade="BF"/>
            </w:tcBorders>
            <w:shd w:val="clear" w:color="auto" w:fill="EFFDE7"/>
          </w:tcPr>
          <w:p w14:paraId="61180835" w14:textId="77777777" w:rsidR="00B5144A" w:rsidRPr="006E19EC" w:rsidRDefault="0459B0F5" w:rsidP="00860F5D">
            <w:pPr>
              <w:spacing w:after="0" w:line="200" w:lineRule="exact"/>
              <w:rPr>
                <w:rFonts w:ascii="Verdana" w:hAnsi="Verdana"/>
                <w:b/>
                <w:bCs/>
                <w:sz w:val="18"/>
                <w:szCs w:val="18"/>
                <w:lang w:val="en-US"/>
              </w:rPr>
            </w:pPr>
            <w:r w:rsidRPr="006E19EC">
              <w:rPr>
                <w:rFonts w:ascii="Verdana" w:hAnsi="Verdana"/>
                <w:b/>
                <w:bCs/>
                <w:sz w:val="18"/>
                <w:szCs w:val="18"/>
              </w:rPr>
              <w:t xml:space="preserve">Exclusive combi-approach indicators: </w:t>
            </w:r>
          </w:p>
          <w:p w14:paraId="464DCBEC" w14:textId="72CAD4A5" w:rsidR="00860F5D" w:rsidRPr="006E19EC" w:rsidRDefault="0459B0F5" w:rsidP="00860F5D">
            <w:pPr>
              <w:spacing w:after="0" w:line="200" w:lineRule="exact"/>
              <w:rPr>
                <w:rFonts w:ascii="Verdana" w:hAnsi="Verdana"/>
                <w:sz w:val="18"/>
                <w:szCs w:val="18"/>
                <w:lang w:val="en-US"/>
              </w:rPr>
            </w:pPr>
            <w:r w:rsidRPr="006E19EC">
              <w:rPr>
                <w:rFonts w:ascii="Verdana" w:hAnsi="Verdana"/>
                <w:sz w:val="18"/>
                <w:szCs w:val="18"/>
              </w:rPr>
              <w:t>Only relevant if Impact Clusters is part of a combitrack.</w:t>
            </w:r>
          </w:p>
        </w:tc>
        <w:tc>
          <w:tcPr>
            <w:tcW w:w="1843" w:type="dxa"/>
            <w:tcBorders>
              <w:left w:val="single" w:sz="4" w:space="0" w:color="BFBFBF" w:themeColor="background1" w:themeShade="BF"/>
            </w:tcBorders>
            <w:shd w:val="clear" w:color="auto" w:fill="EFFDE7"/>
          </w:tcPr>
          <w:p w14:paraId="3194E56B" w14:textId="77777777" w:rsidR="00860F5D" w:rsidRPr="006E19EC" w:rsidRDefault="00860F5D" w:rsidP="00860F5D">
            <w:pPr>
              <w:spacing w:after="0" w:line="200" w:lineRule="exact"/>
              <w:rPr>
                <w:rFonts w:ascii="Verdana" w:hAnsi="Verdana"/>
                <w:sz w:val="18"/>
                <w:szCs w:val="18"/>
                <w:lang w:val="en-US"/>
              </w:rPr>
            </w:pPr>
          </w:p>
        </w:tc>
      </w:tr>
      <w:tr w:rsidR="00B5144A" w:rsidRPr="006E19EC" w14:paraId="78743ECE" w14:textId="77777777" w:rsidTr="005A0D56">
        <w:trPr>
          <w:trHeight w:val="1134"/>
        </w:trPr>
        <w:tc>
          <w:tcPr>
            <w:tcW w:w="1950" w:type="dxa"/>
            <w:shd w:val="clear" w:color="auto" w:fill="EFFDE7"/>
          </w:tcPr>
          <w:p w14:paraId="6F84F454" w14:textId="4B6E531A" w:rsidR="00860F5D" w:rsidRPr="006E19EC" w:rsidRDefault="51BF60CB" w:rsidP="00860F5D">
            <w:pPr>
              <w:spacing w:after="0" w:line="200" w:lineRule="exact"/>
              <w:rPr>
                <w:rFonts w:ascii="Verdana" w:hAnsi="Verdana"/>
                <w:sz w:val="18"/>
                <w:szCs w:val="18"/>
                <w:lang w:val="en-US"/>
              </w:rPr>
            </w:pPr>
            <w:r w:rsidRPr="006E19EC">
              <w:rPr>
                <w:rFonts w:ascii="Verdana" w:hAnsi="Verdana" w:cs="Calibri"/>
                <w:sz w:val="18"/>
                <w:szCs w:val="18"/>
                <w:lang w:val="en-US"/>
              </w:rPr>
              <w:t>The amount of mobilised private finance (in thousands of euros).</w:t>
            </w:r>
          </w:p>
        </w:tc>
        <w:tc>
          <w:tcPr>
            <w:tcW w:w="1873" w:type="dxa"/>
            <w:shd w:val="clear" w:color="auto" w:fill="EFFDE7"/>
          </w:tcPr>
          <w:p w14:paraId="5A9E2609" w14:textId="092D9083" w:rsidR="00860F5D" w:rsidRPr="006E19EC" w:rsidRDefault="51BF60CB" w:rsidP="00860F5D">
            <w:pPr>
              <w:spacing w:after="0" w:line="200" w:lineRule="exact"/>
              <w:rPr>
                <w:rFonts w:ascii="Verdana" w:hAnsi="Verdana"/>
                <w:sz w:val="18"/>
                <w:szCs w:val="18"/>
                <w:lang w:val="en-US"/>
              </w:rPr>
            </w:pPr>
            <w:r w:rsidRPr="006E19EC">
              <w:rPr>
                <w:rFonts w:ascii="Verdana" w:hAnsi="Verdana" w:cs="Calibri"/>
                <w:sz w:val="18"/>
                <w:szCs w:val="18"/>
              </w:rPr>
              <w:t> </w:t>
            </w:r>
          </w:p>
        </w:tc>
        <w:tc>
          <w:tcPr>
            <w:tcW w:w="1701" w:type="dxa"/>
            <w:shd w:val="clear" w:color="auto" w:fill="EFFDE7"/>
          </w:tcPr>
          <w:p w14:paraId="00261A4A" w14:textId="089C84B5" w:rsidR="00860F5D" w:rsidRPr="006E19EC" w:rsidRDefault="51BF60CB" w:rsidP="229F99CC">
            <w:pPr>
              <w:spacing w:after="0" w:line="200" w:lineRule="exact"/>
              <w:rPr>
                <w:rFonts w:ascii="Verdana" w:hAnsi="Verdana"/>
                <w:sz w:val="18"/>
                <w:szCs w:val="18"/>
                <w:lang w:val="nl-NL"/>
              </w:rPr>
            </w:pPr>
            <w:r w:rsidRPr="006E19EC">
              <w:rPr>
                <w:rFonts w:ascii="Verdana" w:hAnsi="Verdana" w:cs="Calibri"/>
                <w:sz w:val="18"/>
                <w:szCs w:val="18"/>
                <w:lang w:val="nl-NL"/>
              </w:rPr>
              <w:t>Quantitative</w:t>
            </w:r>
          </w:p>
        </w:tc>
        <w:tc>
          <w:tcPr>
            <w:tcW w:w="1134" w:type="dxa"/>
            <w:shd w:val="clear" w:color="auto" w:fill="EFFDE7"/>
          </w:tcPr>
          <w:p w14:paraId="50CB3564" w14:textId="2F08CAAA" w:rsidR="00860F5D" w:rsidRPr="006E19EC" w:rsidRDefault="51BF60CB" w:rsidP="00860F5D">
            <w:pPr>
              <w:spacing w:after="0" w:line="200" w:lineRule="exact"/>
              <w:rPr>
                <w:rFonts w:ascii="Verdana" w:hAnsi="Verdana"/>
                <w:sz w:val="18"/>
                <w:szCs w:val="18"/>
                <w:lang w:val="en-US"/>
              </w:rPr>
            </w:pPr>
            <w:r w:rsidRPr="006E19EC">
              <w:rPr>
                <w:rFonts w:ascii="Verdana" w:hAnsi="Verdana" w:cs="Calibri"/>
                <w:sz w:val="18"/>
                <w:szCs w:val="18"/>
              </w:rPr>
              <w:t> </w:t>
            </w:r>
          </w:p>
        </w:tc>
        <w:tc>
          <w:tcPr>
            <w:tcW w:w="1134" w:type="dxa"/>
            <w:shd w:val="clear" w:color="auto" w:fill="EFFDE7"/>
          </w:tcPr>
          <w:p w14:paraId="1ECC1320" w14:textId="4A44F66D" w:rsidR="00860F5D" w:rsidRPr="006E19EC" w:rsidRDefault="51BF60CB" w:rsidP="00860F5D">
            <w:pPr>
              <w:spacing w:after="0" w:line="200" w:lineRule="exact"/>
              <w:rPr>
                <w:rFonts w:ascii="Verdana" w:hAnsi="Verdana"/>
                <w:sz w:val="18"/>
                <w:szCs w:val="18"/>
                <w:lang w:val="en-US"/>
              </w:rPr>
            </w:pPr>
            <w:r w:rsidRPr="006E19EC">
              <w:rPr>
                <w:rFonts w:ascii="Verdana" w:hAnsi="Verdana" w:cs="Calibri"/>
                <w:sz w:val="18"/>
                <w:szCs w:val="18"/>
              </w:rPr>
              <w:t> </w:t>
            </w:r>
          </w:p>
        </w:tc>
        <w:tc>
          <w:tcPr>
            <w:tcW w:w="4449" w:type="dxa"/>
            <w:tcBorders>
              <w:right w:val="single" w:sz="4" w:space="0" w:color="BFBFBF" w:themeColor="background1" w:themeShade="BF"/>
            </w:tcBorders>
            <w:shd w:val="clear" w:color="auto" w:fill="FFEEDD"/>
          </w:tcPr>
          <w:p w14:paraId="160673AA" w14:textId="0E405FDC" w:rsidR="00860F5D" w:rsidRPr="006E19EC" w:rsidRDefault="09CC70A9" w:rsidP="229F99CC">
            <w:pPr>
              <w:spacing w:after="0" w:line="200" w:lineRule="exact"/>
              <w:rPr>
                <w:rFonts w:ascii="Verdana" w:hAnsi="Verdana"/>
                <w:sz w:val="18"/>
                <w:szCs w:val="18"/>
                <w:lang w:val="en-US"/>
              </w:rPr>
            </w:pPr>
            <w:r w:rsidRPr="006E19EC">
              <w:rPr>
                <w:rFonts w:ascii="Verdana" w:hAnsi="Verdana" w:cs="Calibri"/>
                <w:sz w:val="18"/>
                <w:szCs w:val="18"/>
                <w:lang w:val="en-US"/>
              </w:rPr>
              <w:t>Mobilised private finance is the amount of finance generated from private resources in a particular year that can be reasonably and directly linked to the Impact Clusters programme. Fill out the amount in thousands of euros. This indicator does not include in-kind investments</w:t>
            </w:r>
            <w:r w:rsidR="60231B7A" w:rsidRPr="006E19EC">
              <w:rPr>
                <w:rFonts w:ascii="Verdana" w:hAnsi="Verdana" w:cs="Calibri"/>
                <w:sz w:val="18"/>
                <w:szCs w:val="18"/>
                <w:lang w:val="en-US"/>
              </w:rPr>
              <w:t>,</w:t>
            </w:r>
            <w:r w:rsidR="5026A0C8" w:rsidRPr="006E19EC">
              <w:rPr>
                <w:rFonts w:ascii="Verdana" w:hAnsi="Verdana" w:cs="Calibri"/>
                <w:sz w:val="18"/>
                <w:szCs w:val="18"/>
                <w:lang w:val="en-US"/>
              </w:rPr>
              <w:t xml:space="preserve"> such as</w:t>
            </w:r>
            <w:r w:rsidRPr="006E19EC">
              <w:rPr>
                <w:rFonts w:ascii="Verdana" w:hAnsi="Verdana" w:cs="Calibri"/>
                <w:sz w:val="18"/>
                <w:szCs w:val="18"/>
                <w:lang w:val="en-US"/>
              </w:rPr>
              <w:t xml:space="preserve"> allocated time or other non-cash support.</w:t>
            </w:r>
          </w:p>
        </w:tc>
        <w:tc>
          <w:tcPr>
            <w:tcW w:w="1646" w:type="dxa"/>
            <w:tcBorders>
              <w:top w:val="nil"/>
              <w:left w:val="single" w:sz="4" w:space="0" w:color="BFBFBF" w:themeColor="background1" w:themeShade="BF"/>
              <w:bottom w:val="nil"/>
              <w:right w:val="single" w:sz="4" w:space="0" w:color="BFBFBF" w:themeColor="background1" w:themeShade="BF"/>
            </w:tcBorders>
            <w:shd w:val="clear" w:color="auto" w:fill="EFFDE7"/>
          </w:tcPr>
          <w:p w14:paraId="10900DB6" w14:textId="77777777" w:rsidR="00860F5D" w:rsidRPr="006E19EC" w:rsidRDefault="00860F5D" w:rsidP="00860F5D">
            <w:pPr>
              <w:spacing w:after="0" w:line="200" w:lineRule="exact"/>
              <w:rPr>
                <w:rFonts w:ascii="Verdana" w:hAnsi="Verdana"/>
                <w:sz w:val="18"/>
                <w:szCs w:val="18"/>
                <w:lang w:val="en-US"/>
              </w:rPr>
            </w:pPr>
          </w:p>
        </w:tc>
        <w:tc>
          <w:tcPr>
            <w:tcW w:w="1843" w:type="dxa"/>
            <w:tcBorders>
              <w:left w:val="single" w:sz="4" w:space="0" w:color="BFBFBF" w:themeColor="background1" w:themeShade="BF"/>
            </w:tcBorders>
            <w:shd w:val="clear" w:color="auto" w:fill="EFFDE7"/>
          </w:tcPr>
          <w:p w14:paraId="016AC781" w14:textId="77777777" w:rsidR="00860F5D" w:rsidRPr="006E19EC" w:rsidRDefault="00860F5D" w:rsidP="00860F5D">
            <w:pPr>
              <w:spacing w:after="0" w:line="200" w:lineRule="exact"/>
              <w:rPr>
                <w:rFonts w:ascii="Verdana" w:hAnsi="Verdana"/>
                <w:sz w:val="18"/>
                <w:szCs w:val="18"/>
                <w:lang w:val="en-US"/>
              </w:rPr>
            </w:pPr>
          </w:p>
        </w:tc>
      </w:tr>
      <w:bookmarkEnd w:id="0"/>
      <w:tr w:rsidR="00B5144A" w:rsidRPr="006E19EC" w14:paraId="4B90DA20" w14:textId="77777777" w:rsidTr="005A0D56">
        <w:trPr>
          <w:trHeight w:val="1134"/>
        </w:trPr>
        <w:tc>
          <w:tcPr>
            <w:tcW w:w="1950" w:type="dxa"/>
            <w:shd w:val="clear" w:color="auto" w:fill="EFFDE7"/>
          </w:tcPr>
          <w:p w14:paraId="1E9A65B7" w14:textId="0329ECF3" w:rsidR="00860F5D" w:rsidRPr="006E19EC" w:rsidRDefault="0D9D59DA"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The number of direct jobs individually supported in MSMEs (in FTE).</w:t>
            </w:r>
          </w:p>
        </w:tc>
        <w:tc>
          <w:tcPr>
            <w:tcW w:w="1873" w:type="dxa"/>
            <w:shd w:val="clear" w:color="auto" w:fill="EFFDE7"/>
          </w:tcPr>
          <w:p w14:paraId="243CECAF" w14:textId="0A6CDD58" w:rsidR="00860F5D" w:rsidRPr="006E19EC" w:rsidRDefault="09CC70A9"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Women,</w:t>
            </w:r>
            <w:r w:rsidR="00860F5D" w:rsidRPr="006E19EC">
              <w:rPr>
                <w:rFonts w:ascii="Verdana" w:hAnsi="Verdana"/>
                <w:sz w:val="18"/>
                <w:szCs w:val="18"/>
              </w:rPr>
              <w:br/>
            </w:r>
            <w:r w:rsidR="2576D6F3" w:rsidRPr="006E19EC">
              <w:rPr>
                <w:rFonts w:ascii="Verdana" w:hAnsi="Verdana" w:cs="Calibri"/>
                <w:color w:val="000000" w:themeColor="text1"/>
                <w:sz w:val="18"/>
                <w:szCs w:val="18"/>
                <w:lang w:val="nl-NL"/>
              </w:rPr>
              <w:t>y</w:t>
            </w:r>
            <w:r w:rsidRPr="006E19EC">
              <w:rPr>
                <w:rFonts w:ascii="Verdana" w:hAnsi="Verdana" w:cs="Calibri"/>
                <w:color w:val="000000" w:themeColor="text1"/>
                <w:sz w:val="18"/>
                <w:szCs w:val="18"/>
                <w:lang w:val="nl-NL"/>
              </w:rPr>
              <w:t xml:space="preserve">outh (18-35), </w:t>
            </w:r>
            <w:r w:rsidR="00860F5D" w:rsidRPr="006E19EC">
              <w:rPr>
                <w:rFonts w:ascii="Verdana" w:hAnsi="Verdana"/>
                <w:sz w:val="18"/>
                <w:szCs w:val="18"/>
              </w:rPr>
              <w:br/>
            </w:r>
            <w:r w:rsidR="485CE3BF" w:rsidRPr="006E19EC">
              <w:rPr>
                <w:rFonts w:ascii="Verdana" w:hAnsi="Verdana" w:cs="Calibri"/>
                <w:color w:val="000000" w:themeColor="text1"/>
                <w:sz w:val="18"/>
                <w:szCs w:val="18"/>
                <w:lang w:val="nl-NL"/>
              </w:rPr>
              <w:t>t</w:t>
            </w:r>
            <w:r w:rsidRPr="006E19EC">
              <w:rPr>
                <w:rFonts w:ascii="Verdana" w:hAnsi="Verdana" w:cs="Calibri"/>
                <w:color w:val="000000" w:themeColor="text1"/>
                <w:sz w:val="18"/>
                <w:szCs w:val="18"/>
                <w:lang w:val="nl-NL"/>
              </w:rPr>
              <w:t>otal</w:t>
            </w:r>
          </w:p>
        </w:tc>
        <w:tc>
          <w:tcPr>
            <w:tcW w:w="1701" w:type="dxa"/>
            <w:shd w:val="clear" w:color="auto" w:fill="EFFDE7"/>
          </w:tcPr>
          <w:p w14:paraId="5050A8D3" w14:textId="5DF93E87" w:rsidR="00860F5D" w:rsidRPr="006E19EC" w:rsidRDefault="51BF60CB" w:rsidP="229F99CC">
            <w:pPr>
              <w:spacing w:after="0" w:line="200" w:lineRule="exact"/>
              <w:rPr>
                <w:rFonts w:ascii="Verdana" w:hAnsi="Verdana"/>
                <w:sz w:val="18"/>
                <w:szCs w:val="18"/>
                <w:lang w:val="nl-NL"/>
              </w:rPr>
            </w:pPr>
            <w:r w:rsidRPr="006E19EC">
              <w:rPr>
                <w:rFonts w:ascii="Verdana" w:hAnsi="Verdana" w:cs="Calibri"/>
                <w:color w:val="000000" w:themeColor="text1"/>
                <w:sz w:val="18"/>
                <w:szCs w:val="18"/>
                <w:lang w:val="nl-NL"/>
              </w:rPr>
              <w:t>Quantitative</w:t>
            </w:r>
          </w:p>
        </w:tc>
        <w:tc>
          <w:tcPr>
            <w:tcW w:w="1134" w:type="dxa"/>
            <w:shd w:val="clear" w:color="auto" w:fill="EFFDE7"/>
          </w:tcPr>
          <w:p w14:paraId="416989C8" w14:textId="6D6618FA"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 </w:t>
            </w:r>
          </w:p>
        </w:tc>
        <w:tc>
          <w:tcPr>
            <w:tcW w:w="1134" w:type="dxa"/>
            <w:shd w:val="clear" w:color="auto" w:fill="EFFDE7"/>
          </w:tcPr>
          <w:p w14:paraId="08D7A36A" w14:textId="251C1FE1" w:rsidR="00860F5D" w:rsidRPr="006E19EC" w:rsidRDefault="51BF60C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rPr>
              <w:t> </w:t>
            </w:r>
          </w:p>
        </w:tc>
        <w:tc>
          <w:tcPr>
            <w:tcW w:w="4449" w:type="dxa"/>
            <w:tcBorders>
              <w:right w:val="single" w:sz="4" w:space="0" w:color="BFBFBF" w:themeColor="background1" w:themeShade="BF"/>
            </w:tcBorders>
            <w:shd w:val="clear" w:color="auto" w:fill="FFEEDD"/>
          </w:tcPr>
          <w:p w14:paraId="53A4C03F" w14:textId="43DAB45B" w:rsidR="00860F5D" w:rsidRPr="006E19EC" w:rsidRDefault="02DE555B" w:rsidP="00860F5D">
            <w:pPr>
              <w:spacing w:after="0" w:line="200" w:lineRule="exact"/>
              <w:rPr>
                <w:rFonts w:ascii="Verdana" w:hAnsi="Verdana"/>
                <w:sz w:val="18"/>
                <w:szCs w:val="18"/>
                <w:lang w:val="en-US"/>
              </w:rPr>
            </w:pPr>
            <w:r w:rsidRPr="006E19EC">
              <w:rPr>
                <w:rFonts w:ascii="Verdana" w:hAnsi="Verdana" w:cs="Calibri"/>
                <w:color w:val="000000" w:themeColor="text1"/>
                <w:sz w:val="18"/>
                <w:szCs w:val="18"/>
                <w:lang w:val="en-US"/>
              </w:rPr>
              <w:t xml:space="preserve">The number of FTE working at the local cluster MSME partner is the number of jobs within the local cluster partner directly supported through the Impact Clusters project. This indicator aims to </w:t>
            </w:r>
            <w:r w:rsidR="3AD01566" w:rsidRPr="006E19EC">
              <w:rPr>
                <w:rFonts w:ascii="Verdana" w:hAnsi="Verdana" w:cs="Calibri"/>
                <w:color w:val="000000" w:themeColor="text1"/>
                <w:sz w:val="18"/>
                <w:szCs w:val="18"/>
                <w:lang w:val="en-US"/>
              </w:rPr>
              <w:t>track</w:t>
            </w:r>
            <w:r w:rsidRPr="006E19EC">
              <w:rPr>
                <w:rFonts w:ascii="Verdana" w:hAnsi="Verdana" w:cs="Calibri"/>
                <w:color w:val="000000" w:themeColor="text1"/>
                <w:sz w:val="18"/>
                <w:szCs w:val="18"/>
                <w:lang w:val="en-US"/>
              </w:rPr>
              <w:t xml:space="preserve"> the number of people who can provide for themselves through a decent job in an enterprise supported by Impact Clusters. Only fill out this indicator if the local partner is an MSME.</w:t>
            </w:r>
            <w:r w:rsidR="00860F5D" w:rsidRPr="006E19EC">
              <w:rPr>
                <w:rFonts w:ascii="Verdana" w:hAnsi="Verdana"/>
                <w:sz w:val="18"/>
                <w:szCs w:val="18"/>
              </w:rPr>
              <w:br/>
            </w:r>
            <w:r w:rsidR="00860F5D" w:rsidRPr="006E19EC">
              <w:rPr>
                <w:rFonts w:ascii="Verdana" w:hAnsi="Verdana"/>
                <w:sz w:val="18"/>
                <w:szCs w:val="18"/>
              </w:rPr>
              <w:br/>
            </w:r>
            <w:r w:rsidRPr="006E19EC">
              <w:rPr>
                <w:rFonts w:ascii="Verdana" w:hAnsi="Verdana" w:cs="Calibri"/>
                <w:color w:val="000000" w:themeColor="text1"/>
                <w:sz w:val="18"/>
                <w:szCs w:val="18"/>
                <w:lang w:val="en-US"/>
              </w:rPr>
              <w:t>This indicator includes full-time equivalent (FTE) jobs. It concerns seasonal, contractual part-time employees</w:t>
            </w:r>
            <w:r w:rsidR="48846AD4" w:rsidRPr="006E19EC">
              <w:rPr>
                <w:rFonts w:ascii="Verdana" w:hAnsi="Verdana" w:cs="Calibri"/>
                <w:color w:val="000000" w:themeColor="text1"/>
                <w:sz w:val="18"/>
                <w:szCs w:val="18"/>
                <w:lang w:val="en-US"/>
              </w:rPr>
              <w:t>,</w:t>
            </w:r>
            <w:r w:rsidRPr="006E19EC">
              <w:rPr>
                <w:rFonts w:ascii="Verdana" w:hAnsi="Verdana" w:cs="Calibri"/>
                <w:color w:val="000000" w:themeColor="text1"/>
                <w:sz w:val="18"/>
                <w:szCs w:val="18"/>
                <w:lang w:val="en-US"/>
              </w:rPr>
              <w:t xml:space="preserve"> and informal employment in the target country. Part-time and informal jobs are converted into full-time </w:t>
            </w:r>
            <w:r w:rsidRPr="006E19EC">
              <w:rPr>
                <w:rFonts w:ascii="Verdana" w:hAnsi="Verdana" w:cs="Calibri"/>
                <w:color w:val="000000" w:themeColor="text1"/>
                <w:sz w:val="18"/>
                <w:szCs w:val="18"/>
                <w:lang w:val="en-US"/>
              </w:rPr>
              <w:lastRenderedPageBreak/>
              <w:t xml:space="preserve">equivalent jobs pro-rata. The conversion is based on the local definition of a working week. Seasonal or short-term jobs are prorated based on the part of the reporting period that was worked. For example, a full-time job during the harvest season of 3 months would equal a 0.25 FTE job for the reporting period of one year. If the information is not available, the guideline is </w:t>
            </w:r>
            <w:r w:rsidR="0F814D75" w:rsidRPr="006E19EC">
              <w:rPr>
                <w:rFonts w:ascii="Verdana" w:hAnsi="Verdana" w:cs="Calibri"/>
                <w:color w:val="000000" w:themeColor="text1"/>
                <w:sz w:val="18"/>
                <w:szCs w:val="18"/>
                <w:lang w:val="en-US"/>
              </w:rPr>
              <w:t xml:space="preserve">that </w:t>
            </w:r>
            <w:r w:rsidRPr="006E19EC">
              <w:rPr>
                <w:rFonts w:ascii="Verdana" w:hAnsi="Verdana" w:cs="Calibri"/>
                <w:color w:val="000000" w:themeColor="text1"/>
                <w:sz w:val="18"/>
                <w:szCs w:val="18"/>
                <w:lang w:val="en-US"/>
              </w:rPr>
              <w:t>2 part-time jobs equal 1 full-time job.</w:t>
            </w:r>
          </w:p>
        </w:tc>
        <w:tc>
          <w:tcPr>
            <w:tcW w:w="1646" w:type="dxa"/>
            <w:tcBorders>
              <w:top w:val="nil"/>
              <w:left w:val="single" w:sz="4" w:space="0" w:color="BFBFBF" w:themeColor="background1" w:themeShade="BF"/>
              <w:bottom w:val="nil"/>
              <w:right w:val="single" w:sz="4" w:space="0" w:color="BFBFBF" w:themeColor="background1" w:themeShade="BF"/>
            </w:tcBorders>
            <w:shd w:val="clear" w:color="auto" w:fill="EFFDE7"/>
          </w:tcPr>
          <w:p w14:paraId="72700734" w14:textId="77777777" w:rsidR="00860F5D" w:rsidRPr="006E19EC" w:rsidRDefault="00860F5D" w:rsidP="00860F5D">
            <w:pPr>
              <w:spacing w:after="0" w:line="200" w:lineRule="exact"/>
              <w:rPr>
                <w:rFonts w:ascii="Verdana" w:hAnsi="Verdana"/>
                <w:sz w:val="18"/>
                <w:szCs w:val="18"/>
                <w:lang w:val="en-US"/>
              </w:rPr>
            </w:pPr>
          </w:p>
        </w:tc>
        <w:tc>
          <w:tcPr>
            <w:tcW w:w="1843" w:type="dxa"/>
            <w:tcBorders>
              <w:left w:val="single" w:sz="4" w:space="0" w:color="BFBFBF" w:themeColor="background1" w:themeShade="BF"/>
            </w:tcBorders>
            <w:shd w:val="clear" w:color="auto" w:fill="EFFDE7"/>
          </w:tcPr>
          <w:p w14:paraId="4ED13952" w14:textId="77777777" w:rsidR="00860F5D" w:rsidRPr="006E19EC" w:rsidRDefault="00860F5D" w:rsidP="00860F5D">
            <w:pPr>
              <w:spacing w:after="0" w:line="200" w:lineRule="exact"/>
              <w:rPr>
                <w:rFonts w:ascii="Verdana" w:hAnsi="Verdana"/>
                <w:sz w:val="18"/>
                <w:szCs w:val="18"/>
                <w:lang w:val="en-US"/>
              </w:rPr>
            </w:pPr>
          </w:p>
        </w:tc>
      </w:tr>
    </w:tbl>
    <w:p w14:paraId="451D8882" w14:textId="6CADFDA0" w:rsidR="00A12AD5" w:rsidRPr="006E19EC" w:rsidRDefault="00A12AD5" w:rsidP="2F42B90D">
      <w:pPr>
        <w:rPr>
          <w:rFonts w:ascii="Verdana" w:hAnsi="Verdana"/>
          <w:sz w:val="18"/>
          <w:szCs w:val="18"/>
          <w:lang w:val="en-US"/>
        </w:rPr>
      </w:pPr>
    </w:p>
    <w:p w14:paraId="4089F3A9" w14:textId="1DB30C10" w:rsidR="1792141E" w:rsidRPr="006E19EC" w:rsidRDefault="5055184D" w:rsidP="229F99CC">
      <w:pPr>
        <w:spacing w:before="240" w:after="240"/>
        <w:rPr>
          <w:rFonts w:ascii="Verdana" w:eastAsia="Calibri" w:hAnsi="Verdana" w:cs="Calibri"/>
          <w:color w:val="000000" w:themeColor="text1"/>
          <w:sz w:val="18"/>
          <w:szCs w:val="18"/>
          <w:lang w:val="en-US"/>
        </w:rPr>
      </w:pPr>
      <w:r w:rsidRPr="006E19EC">
        <w:rPr>
          <w:rFonts w:ascii="Verdana" w:eastAsia="Calibri" w:hAnsi="Verdana" w:cs="Calibri"/>
          <w:color w:val="000000" w:themeColor="text1"/>
          <w:sz w:val="18"/>
          <w:szCs w:val="18"/>
          <w:lang w:val="en-US"/>
        </w:rPr>
        <w:t xml:space="preserve">You </w:t>
      </w:r>
      <w:r w:rsidR="37FD4F99" w:rsidRPr="006E19EC">
        <w:rPr>
          <w:rFonts w:ascii="Verdana" w:eastAsia="Calibri" w:hAnsi="Verdana" w:cs="Calibri"/>
          <w:color w:val="000000" w:themeColor="text1"/>
          <w:sz w:val="18"/>
          <w:szCs w:val="18"/>
          <w:lang w:val="en-US"/>
        </w:rPr>
        <w:t>can</w:t>
      </w:r>
      <w:r w:rsidRPr="006E19EC">
        <w:rPr>
          <w:rFonts w:ascii="Verdana" w:eastAsia="Calibri" w:hAnsi="Verdana" w:cs="Calibri"/>
          <w:color w:val="000000" w:themeColor="text1"/>
          <w:sz w:val="18"/>
          <w:szCs w:val="18"/>
          <w:lang w:val="en-US"/>
        </w:rPr>
        <w:t xml:space="preserve"> add your own project-specific indicators </w:t>
      </w:r>
      <w:r w:rsidR="1BAF56CB" w:rsidRPr="006E19EC">
        <w:rPr>
          <w:rFonts w:ascii="Verdana" w:eastAsia="Calibri" w:hAnsi="Verdana" w:cs="Calibri"/>
          <w:color w:val="000000" w:themeColor="text1"/>
          <w:sz w:val="18"/>
          <w:szCs w:val="18"/>
          <w:lang w:val="en-US"/>
        </w:rPr>
        <w:t>to</w:t>
      </w:r>
      <w:r w:rsidRPr="006E19EC">
        <w:rPr>
          <w:rFonts w:ascii="Verdana" w:eastAsia="Calibri" w:hAnsi="Verdana" w:cs="Calibri"/>
          <w:color w:val="000000" w:themeColor="text1"/>
          <w:sz w:val="18"/>
          <w:szCs w:val="18"/>
          <w:lang w:val="en-US"/>
        </w:rPr>
        <w:t xml:space="preserve"> the table below.</w:t>
      </w:r>
      <w:r w:rsidR="7E725450" w:rsidRPr="006E19EC">
        <w:rPr>
          <w:rFonts w:ascii="Verdana" w:eastAsia="Calibri" w:hAnsi="Verdana" w:cs="Calibri"/>
          <w:color w:val="000000" w:themeColor="text1"/>
          <w:sz w:val="18"/>
          <w:szCs w:val="18"/>
          <w:lang w:val="en-US"/>
        </w:rPr>
        <w:t xml:space="preserve"> This is optional.</w:t>
      </w:r>
      <w:r w:rsidRPr="006E19EC">
        <w:rPr>
          <w:rFonts w:ascii="Verdana" w:eastAsia="Calibri" w:hAnsi="Verdana" w:cs="Calibri"/>
          <w:color w:val="000000" w:themeColor="text1"/>
          <w:sz w:val="18"/>
          <w:szCs w:val="18"/>
          <w:lang w:val="en-US"/>
        </w:rPr>
        <w:t xml:space="preserve"> For each additional indicator, specify what will be measured (including units), the target value</w:t>
      </w:r>
      <w:r w:rsidR="44E7A18B" w:rsidRPr="006E19EC">
        <w:rPr>
          <w:rFonts w:ascii="Verdana" w:eastAsia="Calibri" w:hAnsi="Verdana" w:cs="Calibri"/>
          <w:color w:val="000000" w:themeColor="text1"/>
          <w:sz w:val="18"/>
          <w:szCs w:val="18"/>
          <w:lang w:val="en-US"/>
        </w:rPr>
        <w:t>,</w:t>
      </w:r>
      <w:r w:rsidRPr="006E19EC">
        <w:rPr>
          <w:rFonts w:ascii="Verdana" w:eastAsia="Calibri" w:hAnsi="Verdana" w:cs="Calibri"/>
          <w:color w:val="000000" w:themeColor="text1"/>
          <w:sz w:val="18"/>
          <w:szCs w:val="18"/>
          <w:lang w:val="en-US"/>
        </w:rPr>
        <w:t xml:space="preserve"> and the </w:t>
      </w:r>
      <w:r w:rsidR="7F9063C0" w:rsidRPr="006E19EC">
        <w:rPr>
          <w:rFonts w:ascii="Verdana" w:eastAsia="Calibri" w:hAnsi="Verdana" w:cs="Calibri"/>
          <w:color w:val="000000" w:themeColor="text1"/>
          <w:sz w:val="18"/>
          <w:szCs w:val="18"/>
          <w:lang w:val="en-US"/>
        </w:rPr>
        <w:t xml:space="preserve">achieved </w:t>
      </w:r>
      <w:r w:rsidRPr="006E19EC">
        <w:rPr>
          <w:rFonts w:ascii="Verdana" w:eastAsia="Calibri" w:hAnsi="Verdana" w:cs="Calibri"/>
          <w:color w:val="000000" w:themeColor="text1"/>
          <w:sz w:val="18"/>
          <w:szCs w:val="18"/>
          <w:lang w:val="en-US"/>
        </w:rPr>
        <w:t>result</w:t>
      </w:r>
      <w:r w:rsidR="04A66154" w:rsidRPr="006E19EC">
        <w:rPr>
          <w:rFonts w:ascii="Verdana" w:eastAsia="Calibri" w:hAnsi="Verdana" w:cs="Calibri"/>
          <w:color w:val="000000" w:themeColor="text1"/>
          <w:sz w:val="18"/>
          <w:szCs w:val="18"/>
          <w:lang w:val="en-US"/>
        </w:rPr>
        <w:t>.</w:t>
      </w:r>
      <w:r w:rsidRPr="006E19EC">
        <w:rPr>
          <w:rFonts w:ascii="Verdana" w:eastAsia="Calibri" w:hAnsi="Verdana" w:cs="Calibri"/>
          <w:color w:val="000000" w:themeColor="text1"/>
          <w:sz w:val="18"/>
          <w:szCs w:val="18"/>
          <w:lang w:val="en-US"/>
        </w:rPr>
        <w:t xml:space="preserve"> </w:t>
      </w:r>
      <w:r w:rsidR="7A13E2BF" w:rsidRPr="006E19EC">
        <w:rPr>
          <w:rFonts w:ascii="Verdana" w:eastAsia="Calibri" w:hAnsi="Verdana" w:cs="Calibri"/>
          <w:color w:val="000000" w:themeColor="text1"/>
          <w:sz w:val="18"/>
          <w:szCs w:val="18"/>
          <w:lang w:val="en-US"/>
        </w:rPr>
        <w:t>Please a</w:t>
      </w:r>
      <w:r w:rsidR="35986626" w:rsidRPr="006E19EC">
        <w:rPr>
          <w:rFonts w:ascii="Verdana" w:eastAsia="Calibri" w:hAnsi="Verdana" w:cs="Calibri"/>
          <w:color w:val="000000" w:themeColor="text1"/>
          <w:sz w:val="18"/>
          <w:szCs w:val="18"/>
          <w:lang w:val="en-US"/>
        </w:rPr>
        <w:t>lso</w:t>
      </w:r>
      <w:r w:rsidRPr="006E19EC">
        <w:rPr>
          <w:rFonts w:ascii="Verdana" w:eastAsia="Calibri" w:hAnsi="Verdana" w:cs="Calibri"/>
          <w:color w:val="000000" w:themeColor="text1"/>
          <w:sz w:val="18"/>
          <w:szCs w:val="18"/>
          <w:lang w:val="en-US"/>
        </w:rPr>
        <w:t xml:space="preserve"> provide a short explanation of data sources and measurement method</w:t>
      </w:r>
      <w:r w:rsidR="57FF7857" w:rsidRPr="006E19EC">
        <w:rPr>
          <w:rFonts w:ascii="Verdana" w:eastAsia="Calibri" w:hAnsi="Verdana" w:cs="Calibri"/>
          <w:color w:val="000000" w:themeColor="text1"/>
          <w:sz w:val="18"/>
          <w:szCs w:val="18"/>
          <w:lang w:val="en-US"/>
        </w:rPr>
        <w:t>s</w:t>
      </w:r>
      <w:r w:rsidRPr="006E19EC">
        <w:rPr>
          <w:rFonts w:ascii="Verdana" w:eastAsia="Calibri" w:hAnsi="Verdana" w:cs="Calibri"/>
          <w:color w:val="000000" w:themeColor="text1"/>
          <w:sz w:val="18"/>
          <w:szCs w:val="18"/>
          <w:lang w:val="en-US"/>
        </w:rPr>
        <w:t xml:space="preserve">. Indicators should be clear, measurable, and directly linked to your project’s objectives and activities. If you do not wish to add project-specific indicators, you </w:t>
      </w:r>
      <w:r w:rsidR="563137B0" w:rsidRPr="006E19EC">
        <w:rPr>
          <w:rFonts w:ascii="Verdana" w:eastAsia="Calibri" w:hAnsi="Verdana" w:cs="Calibri"/>
          <w:color w:val="000000" w:themeColor="text1"/>
          <w:sz w:val="18"/>
          <w:szCs w:val="18"/>
          <w:lang w:val="en-US"/>
        </w:rPr>
        <w:t>can</w:t>
      </w:r>
      <w:r w:rsidRPr="006E19EC">
        <w:rPr>
          <w:rFonts w:ascii="Verdana" w:eastAsia="Calibri" w:hAnsi="Verdana" w:cs="Calibri"/>
          <w:color w:val="000000" w:themeColor="text1"/>
          <w:sz w:val="18"/>
          <w:szCs w:val="18"/>
          <w:lang w:val="en-US"/>
        </w:rPr>
        <w:t xml:space="preserve"> leave this section blank.</w:t>
      </w:r>
    </w:p>
    <w:p w14:paraId="4C37C485" w14:textId="7432D1A4" w:rsidR="00A12AD5" w:rsidRPr="00C87C6B" w:rsidRDefault="00A12AD5" w:rsidP="00825731">
      <w:pPr>
        <w:rPr>
          <w:rFonts w:ascii="Verdana" w:hAnsi="Verdana"/>
          <w:sz w:val="18"/>
          <w:szCs w:val="18"/>
          <w:lang w:val="en-US"/>
        </w:rPr>
      </w:pPr>
    </w:p>
    <w:tbl>
      <w:tblPr>
        <w:tblStyle w:val="Tabelrasterlicht"/>
        <w:tblW w:w="15730" w:type="dxa"/>
        <w:tblLayout w:type="fixed"/>
        <w:tblLook w:val="04A0" w:firstRow="1" w:lastRow="0" w:firstColumn="1" w:lastColumn="0" w:noHBand="0" w:noVBand="1"/>
      </w:tblPr>
      <w:tblGrid>
        <w:gridCol w:w="1980"/>
        <w:gridCol w:w="1843"/>
        <w:gridCol w:w="1701"/>
        <w:gridCol w:w="992"/>
        <w:gridCol w:w="1559"/>
        <w:gridCol w:w="7655"/>
      </w:tblGrid>
      <w:tr w:rsidR="006C57B3" w:rsidRPr="006C57B3" w14:paraId="44D0A4BB" w14:textId="77777777" w:rsidTr="005A0D56">
        <w:trPr>
          <w:trHeight w:val="1098"/>
        </w:trPr>
        <w:tc>
          <w:tcPr>
            <w:tcW w:w="1980" w:type="dxa"/>
            <w:shd w:val="clear" w:color="auto" w:fill="007BC7"/>
          </w:tcPr>
          <w:p w14:paraId="28F9FAFA" w14:textId="135A6FFF" w:rsidR="006C57B3" w:rsidRPr="006C57B3" w:rsidRDefault="006C57B3" w:rsidP="00825731">
            <w:pPr>
              <w:rPr>
                <w:rFonts w:ascii="Verdana" w:hAnsi="Verdana"/>
                <w:b/>
                <w:bCs/>
                <w:color w:val="FFFFFF" w:themeColor="background1"/>
                <w:sz w:val="18"/>
                <w:szCs w:val="18"/>
                <w:lang w:val="nl-NL"/>
              </w:rPr>
            </w:pPr>
            <w:r w:rsidRPr="006C57B3">
              <w:rPr>
                <w:rFonts w:ascii="Verdana" w:hAnsi="Verdana"/>
                <w:b/>
                <w:bCs/>
                <w:color w:val="FFFFFF" w:themeColor="background1"/>
                <w:sz w:val="18"/>
                <w:szCs w:val="18"/>
                <w:lang w:val="nl-NL"/>
              </w:rPr>
              <w:t>Project-</w:t>
            </w:r>
            <w:proofErr w:type="spellStart"/>
            <w:r w:rsidRPr="006C57B3">
              <w:rPr>
                <w:rFonts w:ascii="Verdana" w:hAnsi="Verdana"/>
                <w:b/>
                <w:bCs/>
                <w:color w:val="FFFFFF" w:themeColor="background1"/>
                <w:sz w:val="18"/>
                <w:szCs w:val="18"/>
                <w:lang w:val="nl-NL"/>
              </w:rPr>
              <w:t>specific</w:t>
            </w:r>
            <w:proofErr w:type="spellEnd"/>
            <w:r w:rsidRPr="006C57B3">
              <w:rPr>
                <w:rFonts w:ascii="Verdana" w:hAnsi="Verdana"/>
                <w:b/>
                <w:bCs/>
                <w:color w:val="FFFFFF" w:themeColor="background1"/>
                <w:sz w:val="18"/>
                <w:szCs w:val="18"/>
                <w:lang w:val="nl-NL"/>
              </w:rPr>
              <w:t xml:space="preserve"> indicators</w:t>
            </w:r>
          </w:p>
        </w:tc>
        <w:tc>
          <w:tcPr>
            <w:tcW w:w="1843" w:type="dxa"/>
            <w:shd w:val="clear" w:color="auto" w:fill="007BC7"/>
          </w:tcPr>
          <w:p w14:paraId="191E1DA4" w14:textId="0B894A04" w:rsidR="006C57B3" w:rsidRPr="006C57B3" w:rsidRDefault="006C57B3" w:rsidP="00825731">
            <w:pPr>
              <w:rPr>
                <w:rFonts w:ascii="Verdana" w:hAnsi="Verdana"/>
                <w:b/>
                <w:bCs/>
                <w:color w:val="FFFFFF" w:themeColor="background1"/>
                <w:sz w:val="18"/>
                <w:szCs w:val="18"/>
                <w:lang w:val="nl-NL"/>
              </w:rPr>
            </w:pPr>
            <w:r w:rsidRPr="006C57B3">
              <w:rPr>
                <w:rFonts w:ascii="Verdana" w:hAnsi="Verdana"/>
                <w:b/>
                <w:bCs/>
                <w:color w:val="FFFFFF" w:themeColor="background1"/>
                <w:sz w:val="18"/>
                <w:szCs w:val="18"/>
              </w:rPr>
              <w:t>Disaggregation</w:t>
            </w:r>
          </w:p>
        </w:tc>
        <w:tc>
          <w:tcPr>
            <w:tcW w:w="1701" w:type="dxa"/>
            <w:shd w:val="clear" w:color="auto" w:fill="007BC7"/>
          </w:tcPr>
          <w:p w14:paraId="3363E7BB" w14:textId="00E3FB62" w:rsidR="006C57B3" w:rsidRPr="006C57B3" w:rsidRDefault="006C57B3" w:rsidP="00825731">
            <w:pPr>
              <w:rPr>
                <w:rFonts w:ascii="Verdana" w:hAnsi="Verdana"/>
                <w:b/>
                <w:bCs/>
                <w:color w:val="FFFFFF" w:themeColor="background1"/>
                <w:sz w:val="18"/>
                <w:szCs w:val="18"/>
                <w:lang w:val="nl-NL"/>
              </w:rPr>
            </w:pPr>
            <w:r w:rsidRPr="006C57B3">
              <w:rPr>
                <w:rFonts w:ascii="Verdana" w:hAnsi="Verdana"/>
                <w:b/>
                <w:bCs/>
                <w:color w:val="FFFFFF" w:themeColor="background1"/>
                <w:sz w:val="18"/>
                <w:szCs w:val="18"/>
                <w:lang w:val="nl-NL"/>
              </w:rPr>
              <w:t>Measurement</w:t>
            </w:r>
          </w:p>
        </w:tc>
        <w:tc>
          <w:tcPr>
            <w:tcW w:w="992" w:type="dxa"/>
            <w:shd w:val="clear" w:color="auto" w:fill="007BC7"/>
          </w:tcPr>
          <w:p w14:paraId="1ABDD1E5" w14:textId="1293B00D" w:rsidR="006C57B3" w:rsidRPr="006C57B3" w:rsidRDefault="006C57B3" w:rsidP="00825731">
            <w:pPr>
              <w:rPr>
                <w:rFonts w:ascii="Verdana" w:hAnsi="Verdana"/>
                <w:b/>
                <w:bCs/>
                <w:color w:val="FFFFFF" w:themeColor="background1"/>
                <w:sz w:val="18"/>
                <w:szCs w:val="18"/>
                <w:lang w:val="nl-NL"/>
              </w:rPr>
            </w:pPr>
            <w:r w:rsidRPr="006C57B3">
              <w:rPr>
                <w:rFonts w:ascii="Verdana" w:hAnsi="Verdana"/>
                <w:b/>
                <w:bCs/>
                <w:color w:val="FFFFFF" w:themeColor="background1"/>
                <w:sz w:val="18"/>
                <w:szCs w:val="18"/>
                <w:lang w:val="nl-NL"/>
              </w:rPr>
              <w:t>Target</w:t>
            </w:r>
          </w:p>
        </w:tc>
        <w:tc>
          <w:tcPr>
            <w:tcW w:w="1559" w:type="dxa"/>
            <w:shd w:val="clear" w:color="auto" w:fill="007BC7"/>
          </w:tcPr>
          <w:p w14:paraId="7F29F350" w14:textId="5C2F874F" w:rsidR="006C57B3" w:rsidRPr="006C57B3" w:rsidRDefault="006C57B3" w:rsidP="00825731">
            <w:pPr>
              <w:rPr>
                <w:rFonts w:ascii="Verdana" w:hAnsi="Verdana"/>
                <w:b/>
                <w:bCs/>
                <w:color w:val="FFFFFF" w:themeColor="background1"/>
                <w:sz w:val="18"/>
                <w:szCs w:val="18"/>
                <w:lang w:val="nl-NL"/>
              </w:rPr>
            </w:pPr>
            <w:r w:rsidRPr="006C57B3">
              <w:rPr>
                <w:rFonts w:ascii="Verdana" w:hAnsi="Verdana"/>
                <w:b/>
                <w:bCs/>
                <w:color w:val="FFFFFF" w:themeColor="background1"/>
                <w:sz w:val="18"/>
                <w:szCs w:val="18"/>
                <w:lang w:val="nl-NL"/>
              </w:rPr>
              <w:t>Result</w:t>
            </w:r>
          </w:p>
        </w:tc>
        <w:tc>
          <w:tcPr>
            <w:tcW w:w="7655" w:type="dxa"/>
            <w:shd w:val="clear" w:color="auto" w:fill="007BC7"/>
          </w:tcPr>
          <w:p w14:paraId="07683BF4" w14:textId="0DF5FAEF" w:rsidR="006C57B3" w:rsidRPr="006C57B3" w:rsidRDefault="006C57B3" w:rsidP="00825731">
            <w:pPr>
              <w:rPr>
                <w:rFonts w:ascii="Verdana" w:hAnsi="Verdana"/>
                <w:b/>
                <w:bCs/>
                <w:color w:val="FFFFFF" w:themeColor="background1"/>
                <w:sz w:val="18"/>
                <w:szCs w:val="18"/>
                <w:lang w:val="nl-NL"/>
              </w:rPr>
            </w:pPr>
            <w:r w:rsidRPr="006C57B3">
              <w:rPr>
                <w:rFonts w:ascii="Verdana" w:hAnsi="Verdana"/>
                <w:b/>
                <w:bCs/>
                <w:color w:val="FFFFFF" w:themeColor="background1"/>
                <w:sz w:val="18"/>
                <w:szCs w:val="18"/>
                <w:lang w:val="nl-NL"/>
              </w:rPr>
              <w:t>Explanation</w:t>
            </w:r>
          </w:p>
        </w:tc>
      </w:tr>
      <w:tr w:rsidR="006C57B3" w14:paraId="77936FA1" w14:textId="77777777" w:rsidTr="005A0D56">
        <w:trPr>
          <w:trHeight w:val="1127"/>
        </w:trPr>
        <w:tc>
          <w:tcPr>
            <w:tcW w:w="1980" w:type="dxa"/>
            <w:shd w:val="clear" w:color="auto" w:fill="FBFBFB"/>
          </w:tcPr>
          <w:p w14:paraId="134C7067" w14:textId="77777777" w:rsidR="006C57B3" w:rsidRDefault="006C57B3" w:rsidP="00825731">
            <w:pPr>
              <w:rPr>
                <w:rFonts w:ascii="Verdana" w:hAnsi="Verdana"/>
                <w:sz w:val="18"/>
                <w:szCs w:val="18"/>
                <w:lang w:val="nl-NL"/>
              </w:rPr>
            </w:pPr>
          </w:p>
        </w:tc>
        <w:tc>
          <w:tcPr>
            <w:tcW w:w="1843" w:type="dxa"/>
            <w:shd w:val="clear" w:color="auto" w:fill="FBFBFB"/>
          </w:tcPr>
          <w:p w14:paraId="7680EA6B" w14:textId="77777777" w:rsidR="006C57B3" w:rsidRDefault="006C57B3" w:rsidP="00825731">
            <w:pPr>
              <w:rPr>
                <w:rFonts w:ascii="Verdana" w:hAnsi="Verdana"/>
                <w:sz w:val="18"/>
                <w:szCs w:val="18"/>
                <w:lang w:val="nl-NL"/>
              </w:rPr>
            </w:pPr>
          </w:p>
        </w:tc>
        <w:tc>
          <w:tcPr>
            <w:tcW w:w="1701" w:type="dxa"/>
            <w:shd w:val="clear" w:color="auto" w:fill="FBFBFB"/>
          </w:tcPr>
          <w:p w14:paraId="4AAE0441" w14:textId="77777777" w:rsidR="006C57B3" w:rsidRDefault="006C57B3" w:rsidP="00825731">
            <w:pPr>
              <w:rPr>
                <w:rFonts w:ascii="Verdana" w:hAnsi="Verdana"/>
                <w:sz w:val="18"/>
                <w:szCs w:val="18"/>
                <w:lang w:val="nl-NL"/>
              </w:rPr>
            </w:pPr>
          </w:p>
        </w:tc>
        <w:tc>
          <w:tcPr>
            <w:tcW w:w="992" w:type="dxa"/>
            <w:shd w:val="clear" w:color="auto" w:fill="FBFBFB"/>
          </w:tcPr>
          <w:p w14:paraId="10E61559" w14:textId="77777777" w:rsidR="006C57B3" w:rsidRDefault="006C57B3" w:rsidP="00825731">
            <w:pPr>
              <w:rPr>
                <w:rFonts w:ascii="Verdana" w:hAnsi="Verdana"/>
                <w:sz w:val="18"/>
                <w:szCs w:val="18"/>
                <w:lang w:val="nl-NL"/>
              </w:rPr>
            </w:pPr>
          </w:p>
        </w:tc>
        <w:tc>
          <w:tcPr>
            <w:tcW w:w="1559" w:type="dxa"/>
            <w:shd w:val="clear" w:color="auto" w:fill="FBFBFB"/>
          </w:tcPr>
          <w:p w14:paraId="65CDA1BD" w14:textId="77777777" w:rsidR="006C57B3" w:rsidRDefault="006C57B3" w:rsidP="00825731">
            <w:pPr>
              <w:rPr>
                <w:rFonts w:ascii="Verdana" w:hAnsi="Verdana"/>
                <w:sz w:val="18"/>
                <w:szCs w:val="18"/>
                <w:lang w:val="nl-NL"/>
              </w:rPr>
            </w:pPr>
          </w:p>
        </w:tc>
        <w:tc>
          <w:tcPr>
            <w:tcW w:w="7655" w:type="dxa"/>
            <w:shd w:val="clear" w:color="auto" w:fill="FBFBFB"/>
          </w:tcPr>
          <w:p w14:paraId="1CC2C886" w14:textId="77777777" w:rsidR="006C57B3" w:rsidRDefault="006C57B3" w:rsidP="00825731">
            <w:pPr>
              <w:rPr>
                <w:rFonts w:ascii="Verdana" w:hAnsi="Verdana"/>
                <w:sz w:val="18"/>
                <w:szCs w:val="18"/>
                <w:lang w:val="nl-NL"/>
              </w:rPr>
            </w:pPr>
          </w:p>
        </w:tc>
      </w:tr>
      <w:tr w:rsidR="006C57B3" w14:paraId="663E1880" w14:textId="77777777" w:rsidTr="005A0D56">
        <w:trPr>
          <w:trHeight w:val="1115"/>
        </w:trPr>
        <w:tc>
          <w:tcPr>
            <w:tcW w:w="1980" w:type="dxa"/>
            <w:shd w:val="clear" w:color="auto" w:fill="FBFBFB"/>
          </w:tcPr>
          <w:p w14:paraId="6E2E611B" w14:textId="77777777" w:rsidR="006C57B3" w:rsidRDefault="006C57B3" w:rsidP="00825731">
            <w:pPr>
              <w:rPr>
                <w:rFonts w:ascii="Verdana" w:hAnsi="Verdana"/>
                <w:sz w:val="18"/>
                <w:szCs w:val="18"/>
                <w:lang w:val="nl-NL"/>
              </w:rPr>
            </w:pPr>
          </w:p>
        </w:tc>
        <w:tc>
          <w:tcPr>
            <w:tcW w:w="1843" w:type="dxa"/>
            <w:shd w:val="clear" w:color="auto" w:fill="FBFBFB"/>
          </w:tcPr>
          <w:p w14:paraId="04503F20" w14:textId="77777777" w:rsidR="006C57B3" w:rsidRDefault="006C57B3" w:rsidP="00825731">
            <w:pPr>
              <w:rPr>
                <w:rFonts w:ascii="Verdana" w:hAnsi="Verdana"/>
                <w:sz w:val="18"/>
                <w:szCs w:val="18"/>
                <w:lang w:val="nl-NL"/>
              </w:rPr>
            </w:pPr>
          </w:p>
        </w:tc>
        <w:tc>
          <w:tcPr>
            <w:tcW w:w="1701" w:type="dxa"/>
            <w:shd w:val="clear" w:color="auto" w:fill="FBFBFB"/>
          </w:tcPr>
          <w:p w14:paraId="15925AE9" w14:textId="77777777" w:rsidR="006C57B3" w:rsidRDefault="006C57B3" w:rsidP="00825731">
            <w:pPr>
              <w:rPr>
                <w:rFonts w:ascii="Verdana" w:hAnsi="Verdana"/>
                <w:sz w:val="18"/>
                <w:szCs w:val="18"/>
                <w:lang w:val="nl-NL"/>
              </w:rPr>
            </w:pPr>
          </w:p>
        </w:tc>
        <w:tc>
          <w:tcPr>
            <w:tcW w:w="992" w:type="dxa"/>
            <w:shd w:val="clear" w:color="auto" w:fill="FBFBFB"/>
          </w:tcPr>
          <w:p w14:paraId="2AB65D89" w14:textId="77777777" w:rsidR="006C57B3" w:rsidRDefault="006C57B3" w:rsidP="00825731">
            <w:pPr>
              <w:rPr>
                <w:rFonts w:ascii="Verdana" w:hAnsi="Verdana"/>
                <w:sz w:val="18"/>
                <w:szCs w:val="18"/>
                <w:lang w:val="nl-NL"/>
              </w:rPr>
            </w:pPr>
          </w:p>
        </w:tc>
        <w:tc>
          <w:tcPr>
            <w:tcW w:w="1559" w:type="dxa"/>
            <w:shd w:val="clear" w:color="auto" w:fill="FBFBFB"/>
          </w:tcPr>
          <w:p w14:paraId="312F0FC9" w14:textId="77777777" w:rsidR="006C57B3" w:rsidRDefault="006C57B3" w:rsidP="00825731">
            <w:pPr>
              <w:rPr>
                <w:rFonts w:ascii="Verdana" w:hAnsi="Verdana"/>
                <w:sz w:val="18"/>
                <w:szCs w:val="18"/>
                <w:lang w:val="nl-NL"/>
              </w:rPr>
            </w:pPr>
          </w:p>
        </w:tc>
        <w:tc>
          <w:tcPr>
            <w:tcW w:w="7655" w:type="dxa"/>
            <w:shd w:val="clear" w:color="auto" w:fill="FBFBFB"/>
          </w:tcPr>
          <w:p w14:paraId="757D62A4" w14:textId="77777777" w:rsidR="006C57B3" w:rsidRDefault="006C57B3" w:rsidP="00825731">
            <w:pPr>
              <w:rPr>
                <w:rFonts w:ascii="Verdana" w:hAnsi="Verdana"/>
                <w:sz w:val="18"/>
                <w:szCs w:val="18"/>
                <w:lang w:val="nl-NL"/>
              </w:rPr>
            </w:pPr>
          </w:p>
        </w:tc>
      </w:tr>
      <w:tr w:rsidR="006C57B3" w14:paraId="1C1D3F8C" w14:textId="77777777" w:rsidTr="005A0D56">
        <w:trPr>
          <w:trHeight w:val="1131"/>
        </w:trPr>
        <w:tc>
          <w:tcPr>
            <w:tcW w:w="1980" w:type="dxa"/>
            <w:shd w:val="clear" w:color="auto" w:fill="FBFBFB"/>
          </w:tcPr>
          <w:p w14:paraId="773EC821" w14:textId="77777777" w:rsidR="006C57B3" w:rsidRDefault="006C57B3" w:rsidP="00825731">
            <w:pPr>
              <w:rPr>
                <w:rFonts w:ascii="Verdana" w:hAnsi="Verdana"/>
                <w:sz w:val="18"/>
                <w:szCs w:val="18"/>
                <w:lang w:val="nl-NL"/>
              </w:rPr>
            </w:pPr>
          </w:p>
        </w:tc>
        <w:tc>
          <w:tcPr>
            <w:tcW w:w="1843" w:type="dxa"/>
            <w:shd w:val="clear" w:color="auto" w:fill="FBFBFB"/>
          </w:tcPr>
          <w:p w14:paraId="3E908DD4" w14:textId="77777777" w:rsidR="006C57B3" w:rsidRDefault="006C57B3" w:rsidP="00825731">
            <w:pPr>
              <w:rPr>
                <w:rFonts w:ascii="Verdana" w:hAnsi="Verdana"/>
                <w:sz w:val="18"/>
                <w:szCs w:val="18"/>
                <w:lang w:val="nl-NL"/>
              </w:rPr>
            </w:pPr>
          </w:p>
        </w:tc>
        <w:tc>
          <w:tcPr>
            <w:tcW w:w="1701" w:type="dxa"/>
            <w:shd w:val="clear" w:color="auto" w:fill="FBFBFB"/>
          </w:tcPr>
          <w:p w14:paraId="4A9DD0F6" w14:textId="77777777" w:rsidR="006C57B3" w:rsidRDefault="006C57B3" w:rsidP="00825731">
            <w:pPr>
              <w:rPr>
                <w:rFonts w:ascii="Verdana" w:hAnsi="Verdana"/>
                <w:sz w:val="18"/>
                <w:szCs w:val="18"/>
                <w:lang w:val="nl-NL"/>
              </w:rPr>
            </w:pPr>
          </w:p>
        </w:tc>
        <w:tc>
          <w:tcPr>
            <w:tcW w:w="992" w:type="dxa"/>
            <w:shd w:val="clear" w:color="auto" w:fill="FBFBFB"/>
          </w:tcPr>
          <w:p w14:paraId="23664A21" w14:textId="77777777" w:rsidR="006C57B3" w:rsidRDefault="006C57B3" w:rsidP="00825731">
            <w:pPr>
              <w:rPr>
                <w:rFonts w:ascii="Verdana" w:hAnsi="Verdana"/>
                <w:sz w:val="18"/>
                <w:szCs w:val="18"/>
                <w:lang w:val="nl-NL"/>
              </w:rPr>
            </w:pPr>
          </w:p>
        </w:tc>
        <w:tc>
          <w:tcPr>
            <w:tcW w:w="1559" w:type="dxa"/>
            <w:shd w:val="clear" w:color="auto" w:fill="FBFBFB"/>
          </w:tcPr>
          <w:p w14:paraId="2636A8E2" w14:textId="77777777" w:rsidR="006C57B3" w:rsidRDefault="006C57B3" w:rsidP="00825731">
            <w:pPr>
              <w:rPr>
                <w:rFonts w:ascii="Verdana" w:hAnsi="Verdana"/>
                <w:sz w:val="18"/>
                <w:szCs w:val="18"/>
                <w:lang w:val="nl-NL"/>
              </w:rPr>
            </w:pPr>
          </w:p>
        </w:tc>
        <w:tc>
          <w:tcPr>
            <w:tcW w:w="7655" w:type="dxa"/>
            <w:shd w:val="clear" w:color="auto" w:fill="FBFBFB"/>
          </w:tcPr>
          <w:p w14:paraId="19F9B83A" w14:textId="77777777" w:rsidR="006C57B3" w:rsidRDefault="006C57B3" w:rsidP="00825731">
            <w:pPr>
              <w:rPr>
                <w:rFonts w:ascii="Verdana" w:hAnsi="Verdana"/>
                <w:sz w:val="18"/>
                <w:szCs w:val="18"/>
                <w:lang w:val="nl-NL"/>
              </w:rPr>
            </w:pPr>
          </w:p>
        </w:tc>
      </w:tr>
      <w:tr w:rsidR="006C57B3" w14:paraId="1A785DD1" w14:textId="77777777" w:rsidTr="005A0D56">
        <w:trPr>
          <w:trHeight w:val="1119"/>
        </w:trPr>
        <w:tc>
          <w:tcPr>
            <w:tcW w:w="1980" w:type="dxa"/>
            <w:shd w:val="clear" w:color="auto" w:fill="FBFBFB"/>
          </w:tcPr>
          <w:p w14:paraId="291B935C" w14:textId="77777777" w:rsidR="006C57B3" w:rsidRDefault="006C57B3" w:rsidP="00825731">
            <w:pPr>
              <w:rPr>
                <w:rFonts w:ascii="Verdana" w:hAnsi="Verdana"/>
                <w:sz w:val="18"/>
                <w:szCs w:val="18"/>
                <w:lang w:val="nl-NL"/>
              </w:rPr>
            </w:pPr>
          </w:p>
        </w:tc>
        <w:tc>
          <w:tcPr>
            <w:tcW w:w="1843" w:type="dxa"/>
            <w:shd w:val="clear" w:color="auto" w:fill="FBFBFB"/>
          </w:tcPr>
          <w:p w14:paraId="21F0FE6D" w14:textId="77777777" w:rsidR="006C57B3" w:rsidRDefault="006C57B3" w:rsidP="00825731">
            <w:pPr>
              <w:rPr>
                <w:rFonts w:ascii="Verdana" w:hAnsi="Verdana"/>
                <w:sz w:val="18"/>
                <w:szCs w:val="18"/>
                <w:lang w:val="nl-NL"/>
              </w:rPr>
            </w:pPr>
          </w:p>
        </w:tc>
        <w:tc>
          <w:tcPr>
            <w:tcW w:w="1701" w:type="dxa"/>
            <w:shd w:val="clear" w:color="auto" w:fill="FBFBFB"/>
          </w:tcPr>
          <w:p w14:paraId="355D5272" w14:textId="77777777" w:rsidR="006C57B3" w:rsidRDefault="006C57B3" w:rsidP="00825731">
            <w:pPr>
              <w:rPr>
                <w:rFonts w:ascii="Verdana" w:hAnsi="Verdana"/>
                <w:sz w:val="18"/>
                <w:szCs w:val="18"/>
                <w:lang w:val="nl-NL"/>
              </w:rPr>
            </w:pPr>
          </w:p>
        </w:tc>
        <w:tc>
          <w:tcPr>
            <w:tcW w:w="992" w:type="dxa"/>
            <w:shd w:val="clear" w:color="auto" w:fill="FBFBFB"/>
          </w:tcPr>
          <w:p w14:paraId="5830B7C1" w14:textId="77777777" w:rsidR="006C57B3" w:rsidRDefault="006C57B3" w:rsidP="00825731">
            <w:pPr>
              <w:rPr>
                <w:rFonts w:ascii="Verdana" w:hAnsi="Verdana"/>
                <w:sz w:val="18"/>
                <w:szCs w:val="18"/>
                <w:lang w:val="nl-NL"/>
              </w:rPr>
            </w:pPr>
          </w:p>
        </w:tc>
        <w:tc>
          <w:tcPr>
            <w:tcW w:w="1559" w:type="dxa"/>
            <w:shd w:val="clear" w:color="auto" w:fill="FBFBFB"/>
          </w:tcPr>
          <w:p w14:paraId="600646DF" w14:textId="77777777" w:rsidR="006C57B3" w:rsidRDefault="006C57B3" w:rsidP="00825731">
            <w:pPr>
              <w:rPr>
                <w:rFonts w:ascii="Verdana" w:hAnsi="Verdana"/>
                <w:sz w:val="18"/>
                <w:szCs w:val="18"/>
                <w:lang w:val="nl-NL"/>
              </w:rPr>
            </w:pPr>
          </w:p>
        </w:tc>
        <w:tc>
          <w:tcPr>
            <w:tcW w:w="7655" w:type="dxa"/>
            <w:shd w:val="clear" w:color="auto" w:fill="FBFBFB"/>
          </w:tcPr>
          <w:p w14:paraId="6BD9B818" w14:textId="77777777" w:rsidR="006C57B3" w:rsidRDefault="006C57B3" w:rsidP="00825731">
            <w:pPr>
              <w:rPr>
                <w:rFonts w:ascii="Verdana" w:hAnsi="Verdana"/>
                <w:sz w:val="18"/>
                <w:szCs w:val="18"/>
                <w:lang w:val="nl-NL"/>
              </w:rPr>
            </w:pPr>
          </w:p>
        </w:tc>
      </w:tr>
    </w:tbl>
    <w:p w14:paraId="707C381D" w14:textId="77777777" w:rsidR="006C57B3" w:rsidRPr="006C57B3" w:rsidRDefault="006C57B3" w:rsidP="00825731">
      <w:pPr>
        <w:rPr>
          <w:rFonts w:ascii="Verdana" w:hAnsi="Verdana"/>
          <w:sz w:val="18"/>
          <w:szCs w:val="18"/>
          <w:lang w:val="nl-NL"/>
        </w:rPr>
      </w:pPr>
    </w:p>
    <w:sectPr w:rsidR="006C57B3" w:rsidRPr="006C57B3" w:rsidSect="00B5144A">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851" w:right="680" w:bottom="680" w:left="680"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91343" w14:textId="77777777" w:rsidR="00BC5D2E" w:rsidRDefault="00BC5D2E">
      <w:r>
        <w:separator/>
      </w:r>
    </w:p>
    <w:p w14:paraId="6144DE49" w14:textId="77777777" w:rsidR="00BC5D2E" w:rsidRDefault="00BC5D2E"/>
  </w:endnote>
  <w:endnote w:type="continuationSeparator" w:id="0">
    <w:p w14:paraId="544E841C" w14:textId="77777777" w:rsidR="00BC5D2E" w:rsidRDefault="00BC5D2E">
      <w:r>
        <w:continuationSeparator/>
      </w:r>
    </w:p>
    <w:p w14:paraId="632F0734" w14:textId="77777777" w:rsidR="00BC5D2E" w:rsidRDefault="00BC5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8689" w14:textId="77777777" w:rsidR="00CB4B81" w:rsidRDefault="00CB4B81">
    <w:pPr>
      <w:pStyle w:val="Voettekst"/>
    </w:pPr>
  </w:p>
  <w:p w14:paraId="457CE726" w14:textId="77777777" w:rsidR="00CB4B81" w:rsidRDefault="00CB4B81"/>
  <w:tbl>
    <w:tblPr>
      <w:tblStyle w:val="Onopgemaaktetabel1"/>
      <w:tblW w:w="9900" w:type="dxa"/>
      <w:tblLayout w:type="fixed"/>
      <w:tblLook w:val="0020" w:firstRow="1" w:lastRow="0" w:firstColumn="0" w:lastColumn="0" w:noHBand="0" w:noVBand="0"/>
    </w:tblPr>
    <w:tblGrid>
      <w:gridCol w:w="7752"/>
      <w:gridCol w:w="2148"/>
    </w:tblGrid>
    <w:tr w:rsidR="00CB4B81" w14:paraId="1E6B3C28" w14:textId="77777777" w:rsidTr="229F99CC">
      <w:trPr>
        <w:cnfStyle w:val="100000000000" w:firstRow="1" w:lastRow="0" w:firstColumn="0" w:lastColumn="0" w:oddVBand="0" w:evenVBand="0" w:oddHBand="0"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7752" w:type="dxa"/>
        </w:tcPr>
        <w:p w14:paraId="63BC6B2E" w14:textId="77777777" w:rsidR="00CB4B81" w:rsidRDefault="00CB4B81">
          <w:pPr>
            <w:pStyle w:val="Huisstijl-Rubricering"/>
          </w:pPr>
          <w:r>
            <w:t>VERTROUWELIJK</w:t>
          </w:r>
        </w:p>
      </w:tc>
      <w:tc>
        <w:tcPr>
          <w:tcW w:w="2148" w:type="dxa"/>
        </w:tcPr>
        <w:p w14:paraId="4E689D66" w14:textId="77777777" w:rsidR="00CB4B81" w:rsidRDefault="229F99CC">
          <w:pPr>
            <w:pStyle w:val="Huisstijl-Paginanummering"/>
            <w:cnfStyle w:val="100000000000" w:firstRow="1" w:lastRow="0" w:firstColumn="0" w:lastColumn="0" w:oddVBand="0" w:evenVBand="0" w:oddHBand="0" w:evenHBand="0" w:firstRowFirstColumn="0" w:firstRowLastColumn="0" w:lastRowFirstColumn="0" w:lastRowLastColumn="0"/>
          </w:pPr>
          <w:r w:rsidRPr="229F99CC">
            <w:rPr>
              <w:rStyle w:val="Huisstijl-GegevenCharChar"/>
            </w:rPr>
            <w:t xml:space="preserve">Pagina </w:t>
          </w:r>
          <w:r w:rsidR="00CB4B81" w:rsidRPr="229F99CC">
            <w:rPr>
              <w:rStyle w:val="Huisstijl-GegevenCharChar"/>
            </w:rPr>
            <w:fldChar w:fldCharType="begin"/>
          </w:r>
          <w:r w:rsidR="00CB4B81" w:rsidRPr="229F99CC">
            <w:rPr>
              <w:rStyle w:val="Huisstijl-GegevenCharChar"/>
            </w:rPr>
            <w:instrText xml:space="preserve"> PAGE   \* MERGEFORMAT </w:instrText>
          </w:r>
          <w:r w:rsidR="00CB4B81" w:rsidRPr="229F99CC">
            <w:rPr>
              <w:rStyle w:val="Huisstijl-GegevenCharChar"/>
            </w:rPr>
            <w:fldChar w:fldCharType="separate"/>
          </w:r>
          <w:r w:rsidRPr="229F99CC">
            <w:rPr>
              <w:rStyle w:val="Huisstijl-GegevenCharChar"/>
            </w:rPr>
            <w:t>2</w:t>
          </w:r>
          <w:r w:rsidR="00CB4B81" w:rsidRPr="229F99CC">
            <w:rPr>
              <w:rStyle w:val="Huisstijl-GegevenCharChar"/>
            </w:rPr>
            <w:fldChar w:fldCharType="end"/>
          </w:r>
          <w:r w:rsidRPr="229F99CC">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471870"/>
      <w:docPartObj>
        <w:docPartGallery w:val="Page Numbers (Bottom of Page)"/>
        <w:docPartUnique/>
      </w:docPartObj>
    </w:sdtPr>
    <w:sdtEndPr>
      <w:rPr>
        <w:rFonts w:ascii="Verdana" w:hAnsi="Verdana"/>
        <w:sz w:val="16"/>
        <w:szCs w:val="16"/>
      </w:rPr>
    </w:sdtEndPr>
    <w:sdtContent>
      <w:sdt>
        <w:sdtPr>
          <w:rPr>
            <w:rFonts w:ascii="Verdana" w:hAnsi="Verdana"/>
            <w:sz w:val="16"/>
            <w:szCs w:val="16"/>
          </w:rPr>
          <w:id w:val="1961680924"/>
          <w:docPartObj>
            <w:docPartGallery w:val="Page Numbers (Top of Page)"/>
            <w:docPartUnique/>
          </w:docPartObj>
        </w:sdtPr>
        <w:sdtEndPr/>
        <w:sdtContent>
          <w:p w14:paraId="024E5FEE" w14:textId="5604484E" w:rsidR="002141DB" w:rsidRPr="002141DB" w:rsidRDefault="229F99CC" w:rsidP="229F99CC">
            <w:pPr>
              <w:pStyle w:val="Voettekst"/>
              <w:rPr>
                <w:rFonts w:ascii="Verdana" w:hAnsi="Verdana"/>
                <w:sz w:val="16"/>
                <w:szCs w:val="16"/>
                <w:lang w:val="nl-NL"/>
              </w:rPr>
            </w:pPr>
            <w:r w:rsidRPr="229F99CC">
              <w:rPr>
                <w:rFonts w:ascii="Verdana" w:hAnsi="Verdana"/>
                <w:sz w:val="16"/>
                <w:szCs w:val="16"/>
                <w:lang w:val="nl-NL"/>
              </w:rPr>
              <w:t xml:space="preserve">Version: </w:t>
            </w:r>
            <w:proofErr w:type="spellStart"/>
            <w:r w:rsidRPr="229F99CC">
              <w:rPr>
                <w:rFonts w:ascii="Verdana" w:hAnsi="Verdana"/>
                <w:sz w:val="16"/>
                <w:szCs w:val="16"/>
                <w:lang w:val="nl-NL"/>
              </w:rPr>
              <w:t>March</w:t>
            </w:r>
            <w:proofErr w:type="spellEnd"/>
            <w:r w:rsidRPr="229F99CC">
              <w:rPr>
                <w:rFonts w:ascii="Verdana" w:hAnsi="Verdana"/>
                <w:sz w:val="16"/>
                <w:szCs w:val="16"/>
                <w:lang w:val="nl-NL"/>
              </w:rPr>
              <w:t xml:space="preserve"> 2026</w:t>
            </w:r>
            <w:r w:rsidR="008911CA">
              <w:tab/>
            </w:r>
            <w:r w:rsidR="008911CA">
              <w:tab/>
            </w:r>
            <w:r w:rsidR="006E19EC">
              <w:tab/>
            </w:r>
            <w:r w:rsidR="006E19EC">
              <w:tab/>
            </w:r>
            <w:r w:rsidR="006E19EC">
              <w:tab/>
            </w:r>
            <w:r w:rsidR="006E19EC">
              <w:tab/>
            </w:r>
            <w:r w:rsidR="006E19EC">
              <w:tab/>
            </w:r>
            <w:r w:rsidR="006E19EC">
              <w:tab/>
            </w:r>
            <w:r w:rsidR="006E19EC">
              <w:tab/>
            </w:r>
            <w:r w:rsidR="006E19EC">
              <w:tab/>
            </w:r>
            <w:r w:rsidR="006E19EC">
              <w:tab/>
            </w:r>
            <w:r w:rsidR="006E19EC">
              <w:tab/>
            </w:r>
            <w:r w:rsidR="006E19EC">
              <w:tab/>
            </w:r>
            <w:r w:rsidR="006E19EC">
              <w:tab/>
            </w:r>
            <w:r w:rsidR="006E19EC">
              <w:tab/>
            </w:r>
            <w:r w:rsidR="006E19EC">
              <w:tab/>
            </w:r>
            <w:r w:rsidR="006E19EC">
              <w:tab/>
            </w:r>
            <w:r w:rsidR="006E19EC">
              <w:tab/>
            </w:r>
            <w:r w:rsidR="006E19EC">
              <w:tab/>
            </w:r>
            <w:r w:rsidR="006E19EC">
              <w:tab/>
            </w:r>
            <w:r w:rsidR="006E19EC">
              <w:tab/>
            </w:r>
            <w:r w:rsidR="006E19EC">
              <w:tab/>
            </w:r>
            <w:r w:rsidR="006E19EC">
              <w:tab/>
            </w:r>
            <w:r w:rsidR="006E19EC">
              <w:tab/>
            </w:r>
            <w:r w:rsidR="006E19EC">
              <w:tab/>
            </w:r>
            <w:r w:rsidR="006E19EC">
              <w:tab/>
            </w:r>
            <w:r w:rsidRPr="229F99CC">
              <w:rPr>
                <w:rFonts w:ascii="Verdana" w:hAnsi="Verdana"/>
                <w:sz w:val="16"/>
                <w:szCs w:val="16"/>
                <w:lang w:val="nl-NL"/>
              </w:rPr>
              <w:t xml:space="preserve">Page </w:t>
            </w:r>
            <w:r w:rsidR="008911CA" w:rsidRPr="229F99CC">
              <w:rPr>
                <w:rFonts w:ascii="Verdana" w:hAnsi="Verdana"/>
                <w:b/>
                <w:bCs/>
                <w:sz w:val="16"/>
                <w:szCs w:val="16"/>
                <w:lang w:val="nl-NL"/>
              </w:rPr>
              <w:fldChar w:fldCharType="begin"/>
            </w:r>
            <w:r w:rsidR="008911CA" w:rsidRPr="229F99CC">
              <w:rPr>
                <w:rFonts w:ascii="Verdana" w:hAnsi="Verdana"/>
                <w:b/>
                <w:bCs/>
                <w:sz w:val="16"/>
                <w:szCs w:val="16"/>
              </w:rPr>
              <w:instrText>PAGE</w:instrText>
            </w:r>
            <w:r w:rsidR="008911CA" w:rsidRPr="229F99CC">
              <w:rPr>
                <w:rFonts w:ascii="Verdana" w:hAnsi="Verdana"/>
                <w:b/>
                <w:bCs/>
                <w:sz w:val="16"/>
                <w:szCs w:val="16"/>
              </w:rPr>
              <w:fldChar w:fldCharType="separate"/>
            </w:r>
            <w:r w:rsidRPr="229F99CC">
              <w:rPr>
                <w:rFonts w:ascii="Verdana" w:hAnsi="Verdana"/>
                <w:b/>
                <w:bCs/>
                <w:sz w:val="16"/>
                <w:szCs w:val="16"/>
                <w:lang w:val="nl-NL"/>
              </w:rPr>
              <w:t>2</w:t>
            </w:r>
            <w:r w:rsidR="008911CA" w:rsidRPr="229F99CC">
              <w:rPr>
                <w:rFonts w:ascii="Verdana" w:hAnsi="Verdana"/>
                <w:b/>
                <w:bCs/>
                <w:sz w:val="16"/>
                <w:szCs w:val="16"/>
                <w:lang w:val="nl-NL"/>
              </w:rPr>
              <w:fldChar w:fldCharType="end"/>
            </w:r>
            <w:r w:rsidRPr="229F99CC">
              <w:rPr>
                <w:rFonts w:ascii="Verdana" w:hAnsi="Verdana"/>
                <w:sz w:val="16"/>
                <w:szCs w:val="16"/>
                <w:lang w:val="nl-NL"/>
              </w:rPr>
              <w:t xml:space="preserve"> of </w:t>
            </w:r>
            <w:r w:rsidR="008911CA" w:rsidRPr="229F99CC">
              <w:rPr>
                <w:rFonts w:ascii="Verdana" w:hAnsi="Verdana"/>
                <w:b/>
                <w:bCs/>
                <w:sz w:val="16"/>
                <w:szCs w:val="16"/>
                <w:lang w:val="nl-NL"/>
              </w:rPr>
              <w:fldChar w:fldCharType="begin"/>
            </w:r>
            <w:r w:rsidR="008911CA" w:rsidRPr="229F99CC">
              <w:rPr>
                <w:rFonts w:ascii="Verdana" w:hAnsi="Verdana"/>
                <w:b/>
                <w:bCs/>
                <w:sz w:val="16"/>
                <w:szCs w:val="16"/>
              </w:rPr>
              <w:instrText>NUMPAGES</w:instrText>
            </w:r>
            <w:r w:rsidR="008911CA" w:rsidRPr="229F99CC">
              <w:rPr>
                <w:rFonts w:ascii="Verdana" w:hAnsi="Verdana"/>
                <w:b/>
                <w:bCs/>
                <w:sz w:val="16"/>
                <w:szCs w:val="16"/>
              </w:rPr>
              <w:fldChar w:fldCharType="separate"/>
            </w:r>
            <w:r w:rsidRPr="229F99CC">
              <w:rPr>
                <w:rFonts w:ascii="Verdana" w:hAnsi="Verdana"/>
                <w:b/>
                <w:bCs/>
                <w:sz w:val="16"/>
                <w:szCs w:val="16"/>
                <w:lang w:val="nl-NL"/>
              </w:rPr>
              <w:t>2</w:t>
            </w:r>
            <w:r w:rsidR="008911CA" w:rsidRPr="229F99CC">
              <w:rPr>
                <w:rFonts w:ascii="Verdana" w:hAnsi="Verdana"/>
                <w:b/>
                <w:bCs/>
                <w:sz w:val="16"/>
                <w:szCs w:val="16"/>
                <w:lang w:val="nl-NL"/>
              </w:rPr>
              <w:fldChar w:fldCharType="end"/>
            </w:r>
          </w:p>
        </w:sdtContent>
      </w:sdt>
    </w:sdtContent>
  </w:sdt>
  <w:p w14:paraId="09ECD6F4" w14:textId="58E52FFB" w:rsidR="00CB4B81" w:rsidRPr="000F3941" w:rsidRDefault="00CB4B81">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376007"/>
      <w:docPartObj>
        <w:docPartGallery w:val="Page Numbers (Bottom of Page)"/>
        <w:docPartUnique/>
      </w:docPartObj>
    </w:sdtPr>
    <w:sdtEndPr/>
    <w:sdtContent>
      <w:sdt>
        <w:sdtPr>
          <w:id w:val="-1769616900"/>
          <w:docPartObj>
            <w:docPartGallery w:val="Page Numbers (Top of Page)"/>
            <w:docPartUnique/>
          </w:docPartObj>
        </w:sdtPr>
        <w:sdtEndPr/>
        <w:sdtContent>
          <w:p w14:paraId="4A0E374D" w14:textId="1F6DE509" w:rsidR="002141DB" w:rsidRDefault="229F99CC">
            <w:pPr>
              <w:pStyle w:val="Voettekst"/>
              <w:jc w:val="right"/>
            </w:pPr>
            <w:r>
              <w:t xml:space="preserve">Pagina </w:t>
            </w:r>
            <w:r w:rsidR="002141DB" w:rsidRPr="229F99CC">
              <w:rPr>
                <w:b/>
                <w:bCs/>
              </w:rPr>
              <w:fldChar w:fldCharType="begin"/>
            </w:r>
            <w:r w:rsidR="002141DB" w:rsidRPr="229F99CC">
              <w:rPr>
                <w:b/>
                <w:bCs/>
              </w:rPr>
              <w:instrText>PAGE</w:instrText>
            </w:r>
            <w:r w:rsidR="002141DB" w:rsidRPr="229F99CC">
              <w:rPr>
                <w:b/>
                <w:bCs/>
                <w:sz w:val="24"/>
                <w:szCs w:val="24"/>
              </w:rPr>
              <w:fldChar w:fldCharType="separate"/>
            </w:r>
            <w:r w:rsidRPr="229F99CC">
              <w:rPr>
                <w:b/>
                <w:bCs/>
              </w:rPr>
              <w:t>2</w:t>
            </w:r>
            <w:r w:rsidR="002141DB" w:rsidRPr="229F99CC">
              <w:rPr>
                <w:b/>
                <w:bCs/>
              </w:rPr>
              <w:fldChar w:fldCharType="end"/>
            </w:r>
            <w:r>
              <w:t xml:space="preserve"> van </w:t>
            </w:r>
            <w:r w:rsidR="002141DB" w:rsidRPr="229F99CC">
              <w:rPr>
                <w:b/>
                <w:bCs/>
              </w:rPr>
              <w:fldChar w:fldCharType="begin"/>
            </w:r>
            <w:r w:rsidR="002141DB" w:rsidRPr="229F99CC">
              <w:rPr>
                <w:b/>
                <w:bCs/>
              </w:rPr>
              <w:instrText>NUMPAGES</w:instrText>
            </w:r>
            <w:r w:rsidR="002141DB" w:rsidRPr="229F99CC">
              <w:rPr>
                <w:b/>
                <w:bCs/>
                <w:sz w:val="24"/>
                <w:szCs w:val="24"/>
              </w:rPr>
              <w:fldChar w:fldCharType="separate"/>
            </w:r>
            <w:r w:rsidRPr="229F99CC">
              <w:rPr>
                <w:b/>
                <w:bCs/>
              </w:rPr>
              <w:t>2</w:t>
            </w:r>
            <w:r w:rsidR="002141DB" w:rsidRPr="229F99CC">
              <w:rPr>
                <w:b/>
                <w:bCs/>
              </w:rPr>
              <w:fldChar w:fldCharType="end"/>
            </w:r>
          </w:p>
        </w:sdtContent>
      </w:sdt>
    </w:sdtContent>
  </w:sdt>
  <w:p w14:paraId="2B100682" w14:textId="02FF4377" w:rsidR="00CB4B81" w:rsidRDefault="00CB4B81" w:rsidP="229F99CC">
    <w:pPr>
      <w:pStyle w:val="Voettekst"/>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F8E1" w14:textId="77777777" w:rsidR="00BC5D2E" w:rsidRDefault="00BC5D2E">
      <w:r>
        <w:separator/>
      </w:r>
    </w:p>
    <w:p w14:paraId="643ACBD1" w14:textId="77777777" w:rsidR="00BC5D2E" w:rsidRDefault="00BC5D2E"/>
  </w:footnote>
  <w:footnote w:type="continuationSeparator" w:id="0">
    <w:p w14:paraId="1C34FE1D" w14:textId="77777777" w:rsidR="00BC5D2E" w:rsidRDefault="00BC5D2E">
      <w:r>
        <w:continuationSeparator/>
      </w:r>
    </w:p>
    <w:p w14:paraId="38055828" w14:textId="77777777" w:rsidR="00BC5D2E" w:rsidRDefault="00BC5D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A821" w14:textId="77777777" w:rsidR="00CB4B81" w:rsidRDefault="00CB4B81">
    <w:pPr>
      <w:pStyle w:val="Koptekst"/>
    </w:pPr>
  </w:p>
  <w:p w14:paraId="6B65FB9D" w14:textId="77777777" w:rsidR="00CB4B81" w:rsidRDefault="00CB4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C616" w14:textId="2BF01A7F" w:rsidR="00CB4B81" w:rsidRPr="000F3941" w:rsidRDefault="00CB4B81">
    <w:pPr>
      <w:spacing w:line="200" w:lineRule="exact"/>
    </w:pPr>
  </w:p>
  <w:p w14:paraId="383E0E10" w14:textId="77777777" w:rsidR="00CB4B81" w:rsidRPr="000F3941" w:rsidRDefault="00CB4B81">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D6BB" w14:textId="200C4586" w:rsidR="00CB4B81" w:rsidRDefault="003A158C">
    <w:pPr>
      <w:pStyle w:val="Koptekst"/>
    </w:pPr>
    <w:r w:rsidRPr="00D247A5">
      <w:rPr>
        <w:noProof/>
      </w:rPr>
      <w:drawing>
        <wp:anchor distT="0" distB="0" distL="114300" distR="114300" simplePos="0" relativeHeight="251658240" behindDoc="1" locked="0" layoutInCell="1" allowOverlap="1" wp14:anchorId="11D3FA0D" wp14:editId="77A31BE5">
          <wp:simplePos x="0" y="0"/>
          <wp:positionH relativeFrom="column">
            <wp:posOffset>2657475</wp:posOffset>
          </wp:positionH>
          <wp:positionV relativeFrom="paragraph">
            <wp:posOffset>-790575</wp:posOffset>
          </wp:positionV>
          <wp:extent cx="466725" cy="1333500"/>
          <wp:effectExtent l="0" t="0" r="9525"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4247AB6" w14:textId="5379BAEE" w:rsidR="00CB4B81" w:rsidRDefault="00CB4B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DAF"/>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4005F0"/>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C70E7"/>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0C0EA1"/>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6377163"/>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6CE2434"/>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9922190"/>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AB3F1F"/>
    <w:multiLevelType w:val="hybridMultilevel"/>
    <w:tmpl w:val="FC085A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1708DE"/>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7920C56"/>
    <w:multiLevelType w:val="hybridMultilevel"/>
    <w:tmpl w:val="79B0C984"/>
    <w:lvl w:ilvl="0" w:tplc="074EAEE2">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ED2B26"/>
    <w:multiLevelType w:val="hybridMultilevel"/>
    <w:tmpl w:val="7DE8AF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0859BC"/>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7542077"/>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E8A5505"/>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F2E61E9"/>
    <w:multiLevelType w:val="hybridMultilevel"/>
    <w:tmpl w:val="FA9CD7A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2030D45"/>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490537C"/>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5C373B7"/>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73D0E64"/>
    <w:multiLevelType w:val="hybridMultilevel"/>
    <w:tmpl w:val="34809F20"/>
    <w:lvl w:ilvl="0" w:tplc="074EAEE2">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C726C1"/>
    <w:multiLevelType w:val="hybridMultilevel"/>
    <w:tmpl w:val="A6A45FBC"/>
    <w:lvl w:ilvl="0" w:tplc="27EAAFD8">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38118EE"/>
    <w:multiLevelType w:val="multilevel"/>
    <w:tmpl w:val="1368BFF2"/>
    <w:lvl w:ilvl="0">
      <w:start w:val="9"/>
      <w:numFmt w:val="decimal"/>
      <w:lvlText w:val="%1"/>
      <w:lvlJc w:val="left"/>
      <w:pPr>
        <w:ind w:left="2486" w:hanging="360"/>
      </w:pPr>
      <w:rPr>
        <w:rFonts w:hint="default"/>
      </w:rPr>
    </w:lvl>
    <w:lvl w:ilvl="1">
      <w:start w:val="1"/>
      <w:numFmt w:val="decimal"/>
      <w:lvlText w:val="%1.%2"/>
      <w:lvlJc w:val="left"/>
      <w:pPr>
        <w:ind w:left="2486" w:hanging="3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206" w:hanging="1080"/>
      </w:pPr>
      <w:rPr>
        <w:rFonts w:hint="default"/>
      </w:rPr>
    </w:lvl>
    <w:lvl w:ilvl="4">
      <w:start w:val="1"/>
      <w:numFmt w:val="decimal"/>
      <w:lvlText w:val="%1.%2.%3.%4.%5"/>
      <w:lvlJc w:val="left"/>
      <w:pPr>
        <w:ind w:left="3206" w:hanging="1080"/>
      </w:pPr>
      <w:rPr>
        <w:rFonts w:hint="default"/>
      </w:rPr>
    </w:lvl>
    <w:lvl w:ilvl="5">
      <w:start w:val="1"/>
      <w:numFmt w:val="decimal"/>
      <w:lvlText w:val="%1.%2.%3.%4.%5.%6"/>
      <w:lvlJc w:val="left"/>
      <w:pPr>
        <w:ind w:left="3566" w:hanging="1440"/>
      </w:pPr>
      <w:rPr>
        <w:rFonts w:hint="default"/>
      </w:rPr>
    </w:lvl>
    <w:lvl w:ilvl="6">
      <w:start w:val="1"/>
      <w:numFmt w:val="decimal"/>
      <w:lvlText w:val="%1.%2.%3.%4.%5.%6.%7"/>
      <w:lvlJc w:val="left"/>
      <w:pPr>
        <w:ind w:left="3566" w:hanging="1440"/>
      </w:pPr>
      <w:rPr>
        <w:rFonts w:hint="default"/>
      </w:rPr>
    </w:lvl>
    <w:lvl w:ilvl="7">
      <w:start w:val="1"/>
      <w:numFmt w:val="decimal"/>
      <w:lvlText w:val="%1.%2.%3.%4.%5.%6.%7.%8"/>
      <w:lvlJc w:val="left"/>
      <w:pPr>
        <w:ind w:left="3926" w:hanging="1800"/>
      </w:pPr>
      <w:rPr>
        <w:rFonts w:hint="default"/>
      </w:rPr>
    </w:lvl>
    <w:lvl w:ilvl="8">
      <w:start w:val="1"/>
      <w:numFmt w:val="decimal"/>
      <w:lvlText w:val="%1.%2.%3.%4.%5.%6.%7.%8.%9"/>
      <w:lvlJc w:val="left"/>
      <w:pPr>
        <w:ind w:left="4286" w:hanging="2160"/>
      </w:pPr>
      <w:rPr>
        <w:rFonts w:hint="default"/>
      </w:rPr>
    </w:lvl>
  </w:abstractNum>
  <w:abstractNum w:abstractNumId="23" w15:restartNumberingAfterBreak="0">
    <w:nsid w:val="6CC5145B"/>
    <w:multiLevelType w:val="hybridMultilevel"/>
    <w:tmpl w:val="E0560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1B86531"/>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42C1965"/>
    <w:multiLevelType w:val="hybridMultilevel"/>
    <w:tmpl w:val="A13E6F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483143F"/>
    <w:multiLevelType w:val="hybridMultilevel"/>
    <w:tmpl w:val="FFBA4140"/>
    <w:lvl w:ilvl="0" w:tplc="074EAEE2">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7670DE0"/>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7FD7EB6"/>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8F04FBA"/>
    <w:multiLevelType w:val="multilevel"/>
    <w:tmpl w:val="AAB0BD9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EEF6A39"/>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59162303">
    <w:abstractNumId w:val="2"/>
  </w:num>
  <w:num w:numId="2" w16cid:durableId="2113356304">
    <w:abstractNumId w:val="8"/>
  </w:num>
  <w:num w:numId="3" w16cid:durableId="721641391">
    <w:abstractNumId w:val="0"/>
  </w:num>
  <w:num w:numId="4" w16cid:durableId="1564753289">
    <w:abstractNumId w:val="16"/>
  </w:num>
  <w:num w:numId="5" w16cid:durableId="321861076">
    <w:abstractNumId w:val="9"/>
  </w:num>
  <w:num w:numId="6" w16cid:durableId="1010764983">
    <w:abstractNumId w:val="7"/>
  </w:num>
  <w:num w:numId="7" w16cid:durableId="1537697023">
    <w:abstractNumId w:val="28"/>
  </w:num>
  <w:num w:numId="8" w16cid:durableId="1545173302">
    <w:abstractNumId w:val="10"/>
  </w:num>
  <w:num w:numId="9" w16cid:durableId="673847019">
    <w:abstractNumId w:val="25"/>
  </w:num>
  <w:num w:numId="10" w16cid:durableId="1818648595">
    <w:abstractNumId w:val="30"/>
  </w:num>
  <w:num w:numId="11" w16cid:durableId="1896702255">
    <w:abstractNumId w:val="18"/>
  </w:num>
  <w:num w:numId="12" w16cid:durableId="1994792262">
    <w:abstractNumId w:val="15"/>
  </w:num>
  <w:num w:numId="13" w16cid:durableId="182091500">
    <w:abstractNumId w:val="19"/>
  </w:num>
  <w:num w:numId="14" w16cid:durableId="565722950">
    <w:abstractNumId w:val="6"/>
  </w:num>
  <w:num w:numId="15" w16cid:durableId="919683165">
    <w:abstractNumId w:val="5"/>
  </w:num>
  <w:num w:numId="16" w16cid:durableId="523203784">
    <w:abstractNumId w:val="3"/>
  </w:num>
  <w:num w:numId="17" w16cid:durableId="872613942">
    <w:abstractNumId w:val="17"/>
  </w:num>
  <w:num w:numId="18" w16cid:durableId="34545619">
    <w:abstractNumId w:val="1"/>
  </w:num>
  <w:num w:numId="19" w16cid:durableId="1962224987">
    <w:abstractNumId w:val="4"/>
  </w:num>
  <w:num w:numId="20" w16cid:durableId="891119884">
    <w:abstractNumId w:val="11"/>
  </w:num>
  <w:num w:numId="21" w16cid:durableId="541524440">
    <w:abstractNumId w:val="26"/>
  </w:num>
  <w:num w:numId="22" w16cid:durableId="1415469753">
    <w:abstractNumId w:val="24"/>
  </w:num>
  <w:num w:numId="23" w16cid:durableId="20858575">
    <w:abstractNumId w:val="20"/>
  </w:num>
  <w:num w:numId="24" w16cid:durableId="2043048350">
    <w:abstractNumId w:val="27"/>
  </w:num>
  <w:num w:numId="25" w16cid:durableId="1473911773">
    <w:abstractNumId w:val="13"/>
  </w:num>
  <w:num w:numId="26" w16cid:durableId="547029206">
    <w:abstractNumId w:val="29"/>
  </w:num>
  <w:num w:numId="27" w16cid:durableId="261649004">
    <w:abstractNumId w:val="22"/>
  </w:num>
  <w:num w:numId="28" w16cid:durableId="774833947">
    <w:abstractNumId w:val="14"/>
  </w:num>
  <w:num w:numId="29" w16cid:durableId="1213466436">
    <w:abstractNumId w:val="23"/>
  </w:num>
  <w:num w:numId="30" w16cid:durableId="1804693839">
    <w:abstractNumId w:val="21"/>
  </w:num>
  <w:num w:numId="31" w16cid:durableId="166338519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0F3941"/>
    <w:rsid w:val="00000A3B"/>
    <w:rsid w:val="00001443"/>
    <w:rsid w:val="00016E11"/>
    <w:rsid w:val="00023804"/>
    <w:rsid w:val="00024907"/>
    <w:rsid w:val="000276CF"/>
    <w:rsid w:val="00027F0A"/>
    <w:rsid w:val="000339A2"/>
    <w:rsid w:val="00046599"/>
    <w:rsid w:val="0005049E"/>
    <w:rsid w:val="00080C00"/>
    <w:rsid w:val="000A71C7"/>
    <w:rsid w:val="000C299A"/>
    <w:rsid w:val="000C4E6E"/>
    <w:rsid w:val="000E3C27"/>
    <w:rsid w:val="000F3941"/>
    <w:rsid w:val="000F6468"/>
    <w:rsid w:val="000F79D5"/>
    <w:rsid w:val="00111486"/>
    <w:rsid w:val="00115979"/>
    <w:rsid w:val="001171CC"/>
    <w:rsid w:val="0011C202"/>
    <w:rsid w:val="00120918"/>
    <w:rsid w:val="0013029D"/>
    <w:rsid w:val="001376A1"/>
    <w:rsid w:val="001505D0"/>
    <w:rsid w:val="001656E9"/>
    <w:rsid w:val="001775E0"/>
    <w:rsid w:val="00187EC5"/>
    <w:rsid w:val="00191C0F"/>
    <w:rsid w:val="001B4006"/>
    <w:rsid w:val="001B633E"/>
    <w:rsid w:val="001D01A9"/>
    <w:rsid w:val="001D6322"/>
    <w:rsid w:val="001D651E"/>
    <w:rsid w:val="001E2AE3"/>
    <w:rsid w:val="002079E3"/>
    <w:rsid w:val="002141DB"/>
    <w:rsid w:val="00232478"/>
    <w:rsid w:val="00233298"/>
    <w:rsid w:val="00236DD2"/>
    <w:rsid w:val="002525BC"/>
    <w:rsid w:val="00265ECE"/>
    <w:rsid w:val="00281C78"/>
    <w:rsid w:val="002924F6"/>
    <w:rsid w:val="00295460"/>
    <w:rsid w:val="002C4309"/>
    <w:rsid w:val="002C4A70"/>
    <w:rsid w:val="002D1C52"/>
    <w:rsid w:val="002D2DAC"/>
    <w:rsid w:val="002E3E5B"/>
    <w:rsid w:val="002E672E"/>
    <w:rsid w:val="002E789E"/>
    <w:rsid w:val="002F2F1C"/>
    <w:rsid w:val="00300F10"/>
    <w:rsid w:val="003073A2"/>
    <w:rsid w:val="00316DE1"/>
    <w:rsid w:val="0032146D"/>
    <w:rsid w:val="0033285B"/>
    <w:rsid w:val="0033736B"/>
    <w:rsid w:val="00343684"/>
    <w:rsid w:val="0038021B"/>
    <w:rsid w:val="003916E0"/>
    <w:rsid w:val="00393356"/>
    <w:rsid w:val="003A158C"/>
    <w:rsid w:val="003B532C"/>
    <w:rsid w:val="003B5470"/>
    <w:rsid w:val="003C1341"/>
    <w:rsid w:val="003D50BE"/>
    <w:rsid w:val="003E3FB9"/>
    <w:rsid w:val="003F1694"/>
    <w:rsid w:val="004071CC"/>
    <w:rsid w:val="00427195"/>
    <w:rsid w:val="00441349"/>
    <w:rsid w:val="004638DA"/>
    <w:rsid w:val="00471914"/>
    <w:rsid w:val="004722DF"/>
    <w:rsid w:val="00474284"/>
    <w:rsid w:val="00475AB5"/>
    <w:rsid w:val="004803EE"/>
    <w:rsid w:val="004D53F3"/>
    <w:rsid w:val="004E1BD8"/>
    <w:rsid w:val="004E4428"/>
    <w:rsid w:val="00533CE3"/>
    <w:rsid w:val="005438BB"/>
    <w:rsid w:val="00546FD5"/>
    <w:rsid w:val="005612A7"/>
    <w:rsid w:val="00576935"/>
    <w:rsid w:val="00593914"/>
    <w:rsid w:val="005A0D56"/>
    <w:rsid w:val="005B3FAF"/>
    <w:rsid w:val="005D1CC1"/>
    <w:rsid w:val="005D2FF2"/>
    <w:rsid w:val="005D74BA"/>
    <w:rsid w:val="005E732B"/>
    <w:rsid w:val="00612988"/>
    <w:rsid w:val="00621A59"/>
    <w:rsid w:val="00622178"/>
    <w:rsid w:val="006263F7"/>
    <w:rsid w:val="00627255"/>
    <w:rsid w:val="00640B43"/>
    <w:rsid w:val="00643686"/>
    <w:rsid w:val="00663293"/>
    <w:rsid w:val="00666427"/>
    <w:rsid w:val="006A1468"/>
    <w:rsid w:val="006B64C8"/>
    <w:rsid w:val="006C04BD"/>
    <w:rsid w:val="006C192E"/>
    <w:rsid w:val="006C4FE5"/>
    <w:rsid w:val="006C57B3"/>
    <w:rsid w:val="006D2FD7"/>
    <w:rsid w:val="006E0966"/>
    <w:rsid w:val="006E19EC"/>
    <w:rsid w:val="0070068A"/>
    <w:rsid w:val="00725AB0"/>
    <w:rsid w:val="00763502"/>
    <w:rsid w:val="0077106C"/>
    <w:rsid w:val="007710F0"/>
    <w:rsid w:val="007723B9"/>
    <w:rsid w:val="007772AC"/>
    <w:rsid w:val="00784563"/>
    <w:rsid w:val="00794D76"/>
    <w:rsid w:val="007C0633"/>
    <w:rsid w:val="007E3D80"/>
    <w:rsid w:val="007E5988"/>
    <w:rsid w:val="007E759C"/>
    <w:rsid w:val="007F45BD"/>
    <w:rsid w:val="00805A4F"/>
    <w:rsid w:val="00817E2C"/>
    <w:rsid w:val="00825731"/>
    <w:rsid w:val="00834E6A"/>
    <w:rsid w:val="00840198"/>
    <w:rsid w:val="00852A4B"/>
    <w:rsid w:val="00860F5D"/>
    <w:rsid w:val="00870CDC"/>
    <w:rsid w:val="0087235B"/>
    <w:rsid w:val="008804B3"/>
    <w:rsid w:val="0088142D"/>
    <w:rsid w:val="008911CA"/>
    <w:rsid w:val="008944F6"/>
    <w:rsid w:val="0089706A"/>
    <w:rsid w:val="008C17F6"/>
    <w:rsid w:val="008D37EB"/>
    <w:rsid w:val="008E4F2F"/>
    <w:rsid w:val="008F0D44"/>
    <w:rsid w:val="00923C4B"/>
    <w:rsid w:val="009578A6"/>
    <w:rsid w:val="009803CD"/>
    <w:rsid w:val="009862CF"/>
    <w:rsid w:val="009948DE"/>
    <w:rsid w:val="009A69D3"/>
    <w:rsid w:val="009B1CB8"/>
    <w:rsid w:val="009C3BA2"/>
    <w:rsid w:val="009C7CA2"/>
    <w:rsid w:val="009F0EAC"/>
    <w:rsid w:val="00A04864"/>
    <w:rsid w:val="00A12AD5"/>
    <w:rsid w:val="00A21572"/>
    <w:rsid w:val="00A35748"/>
    <w:rsid w:val="00A6193C"/>
    <w:rsid w:val="00A63D3F"/>
    <w:rsid w:val="00A713E5"/>
    <w:rsid w:val="00AB3974"/>
    <w:rsid w:val="00AB6939"/>
    <w:rsid w:val="00AC5509"/>
    <w:rsid w:val="00AC7BEE"/>
    <w:rsid w:val="00AE040E"/>
    <w:rsid w:val="00AE0B0C"/>
    <w:rsid w:val="00AE7F1D"/>
    <w:rsid w:val="00AF256D"/>
    <w:rsid w:val="00AF36D6"/>
    <w:rsid w:val="00B12AB9"/>
    <w:rsid w:val="00B14DA5"/>
    <w:rsid w:val="00B215B1"/>
    <w:rsid w:val="00B455E5"/>
    <w:rsid w:val="00B5119F"/>
    <w:rsid w:val="00B5144A"/>
    <w:rsid w:val="00B6142D"/>
    <w:rsid w:val="00B81CA4"/>
    <w:rsid w:val="00B90F1D"/>
    <w:rsid w:val="00B910D6"/>
    <w:rsid w:val="00BA323C"/>
    <w:rsid w:val="00BB6B13"/>
    <w:rsid w:val="00BB7BB8"/>
    <w:rsid w:val="00BC2DE5"/>
    <w:rsid w:val="00BC5816"/>
    <w:rsid w:val="00BC5D2E"/>
    <w:rsid w:val="00BE1257"/>
    <w:rsid w:val="00C018D0"/>
    <w:rsid w:val="00C05E66"/>
    <w:rsid w:val="00C06F2A"/>
    <w:rsid w:val="00C131A8"/>
    <w:rsid w:val="00C143FC"/>
    <w:rsid w:val="00C22DC3"/>
    <w:rsid w:val="00C251BD"/>
    <w:rsid w:val="00C3796D"/>
    <w:rsid w:val="00C478FB"/>
    <w:rsid w:val="00C56B43"/>
    <w:rsid w:val="00C67450"/>
    <w:rsid w:val="00C764F4"/>
    <w:rsid w:val="00C87C6B"/>
    <w:rsid w:val="00C91ADD"/>
    <w:rsid w:val="00CA4F15"/>
    <w:rsid w:val="00CB0D74"/>
    <w:rsid w:val="00CB438A"/>
    <w:rsid w:val="00CB4B81"/>
    <w:rsid w:val="00CB554A"/>
    <w:rsid w:val="00CC3864"/>
    <w:rsid w:val="00CD7A21"/>
    <w:rsid w:val="00CD7FAE"/>
    <w:rsid w:val="00D045E6"/>
    <w:rsid w:val="00D100E8"/>
    <w:rsid w:val="00D166EF"/>
    <w:rsid w:val="00D20EF1"/>
    <w:rsid w:val="00D310C4"/>
    <w:rsid w:val="00D337FE"/>
    <w:rsid w:val="00D36C1E"/>
    <w:rsid w:val="00D47EE6"/>
    <w:rsid w:val="00D61AD5"/>
    <w:rsid w:val="00D73155"/>
    <w:rsid w:val="00D74786"/>
    <w:rsid w:val="00D94E94"/>
    <w:rsid w:val="00D95FF9"/>
    <w:rsid w:val="00DA09E5"/>
    <w:rsid w:val="00DA4025"/>
    <w:rsid w:val="00DB2476"/>
    <w:rsid w:val="00DB7F5B"/>
    <w:rsid w:val="00DD5415"/>
    <w:rsid w:val="00DF0918"/>
    <w:rsid w:val="00DF1748"/>
    <w:rsid w:val="00E02AEA"/>
    <w:rsid w:val="00E11334"/>
    <w:rsid w:val="00E178D8"/>
    <w:rsid w:val="00E40B30"/>
    <w:rsid w:val="00E517AE"/>
    <w:rsid w:val="00E51A24"/>
    <w:rsid w:val="00E523BE"/>
    <w:rsid w:val="00E55176"/>
    <w:rsid w:val="00E6052A"/>
    <w:rsid w:val="00E635F1"/>
    <w:rsid w:val="00E654F8"/>
    <w:rsid w:val="00E70133"/>
    <w:rsid w:val="00E72BD0"/>
    <w:rsid w:val="00E84EDE"/>
    <w:rsid w:val="00EA5E3B"/>
    <w:rsid w:val="00EB268E"/>
    <w:rsid w:val="00EB688D"/>
    <w:rsid w:val="00EC0AFB"/>
    <w:rsid w:val="00ED6E9E"/>
    <w:rsid w:val="00ED70B0"/>
    <w:rsid w:val="00EE06F6"/>
    <w:rsid w:val="00EE0B3F"/>
    <w:rsid w:val="00EE691B"/>
    <w:rsid w:val="00EF0E34"/>
    <w:rsid w:val="00EF11C8"/>
    <w:rsid w:val="00EF2CA4"/>
    <w:rsid w:val="00EF684E"/>
    <w:rsid w:val="00F05838"/>
    <w:rsid w:val="00F146F0"/>
    <w:rsid w:val="00F14C9B"/>
    <w:rsid w:val="00F34A2B"/>
    <w:rsid w:val="00F459C3"/>
    <w:rsid w:val="00F46855"/>
    <w:rsid w:val="00F51023"/>
    <w:rsid w:val="00F60F4E"/>
    <w:rsid w:val="00F85A3D"/>
    <w:rsid w:val="00F9043A"/>
    <w:rsid w:val="00F91FEF"/>
    <w:rsid w:val="00FE2F50"/>
    <w:rsid w:val="00FF130C"/>
    <w:rsid w:val="00FF5DE1"/>
    <w:rsid w:val="010366B8"/>
    <w:rsid w:val="02864413"/>
    <w:rsid w:val="02DE555B"/>
    <w:rsid w:val="0414F792"/>
    <w:rsid w:val="041AB48A"/>
    <w:rsid w:val="042B6BAF"/>
    <w:rsid w:val="04598057"/>
    <w:rsid w:val="0459B0F5"/>
    <w:rsid w:val="04A66154"/>
    <w:rsid w:val="04FF2AE1"/>
    <w:rsid w:val="05934212"/>
    <w:rsid w:val="05AF52E8"/>
    <w:rsid w:val="05DFC0A9"/>
    <w:rsid w:val="0722AFB2"/>
    <w:rsid w:val="083EB165"/>
    <w:rsid w:val="088C53A5"/>
    <w:rsid w:val="08974E7E"/>
    <w:rsid w:val="089FC2D9"/>
    <w:rsid w:val="090622B2"/>
    <w:rsid w:val="098F296E"/>
    <w:rsid w:val="09CC70A9"/>
    <w:rsid w:val="0BEDB2C6"/>
    <w:rsid w:val="0C21DF2D"/>
    <w:rsid w:val="0C8138B8"/>
    <w:rsid w:val="0CA2D2DD"/>
    <w:rsid w:val="0CC745D0"/>
    <w:rsid w:val="0D848969"/>
    <w:rsid w:val="0D9D59DA"/>
    <w:rsid w:val="0DC533A7"/>
    <w:rsid w:val="0E356BD9"/>
    <w:rsid w:val="0F814D75"/>
    <w:rsid w:val="0F8FD827"/>
    <w:rsid w:val="0FA614DD"/>
    <w:rsid w:val="1011E3F5"/>
    <w:rsid w:val="10EC1DC1"/>
    <w:rsid w:val="110B1A51"/>
    <w:rsid w:val="116985CA"/>
    <w:rsid w:val="11AC2965"/>
    <w:rsid w:val="11C28D27"/>
    <w:rsid w:val="12012009"/>
    <w:rsid w:val="13175FF5"/>
    <w:rsid w:val="13464E63"/>
    <w:rsid w:val="1356484C"/>
    <w:rsid w:val="14F81E8C"/>
    <w:rsid w:val="15324F99"/>
    <w:rsid w:val="153F0701"/>
    <w:rsid w:val="155E92FB"/>
    <w:rsid w:val="16438D2E"/>
    <w:rsid w:val="17065F58"/>
    <w:rsid w:val="174299C0"/>
    <w:rsid w:val="17830D1A"/>
    <w:rsid w:val="1792141E"/>
    <w:rsid w:val="17C59343"/>
    <w:rsid w:val="18496AB9"/>
    <w:rsid w:val="187C499C"/>
    <w:rsid w:val="189FB079"/>
    <w:rsid w:val="18A9080E"/>
    <w:rsid w:val="1903736C"/>
    <w:rsid w:val="1918D55B"/>
    <w:rsid w:val="19DAF248"/>
    <w:rsid w:val="1A365667"/>
    <w:rsid w:val="1A81E854"/>
    <w:rsid w:val="1AE08CBB"/>
    <w:rsid w:val="1AFD79D6"/>
    <w:rsid w:val="1B00FD6A"/>
    <w:rsid w:val="1BAF56CB"/>
    <w:rsid w:val="1CD9AA21"/>
    <w:rsid w:val="1CE8DF59"/>
    <w:rsid w:val="1D05C032"/>
    <w:rsid w:val="1D20C150"/>
    <w:rsid w:val="1D3345C3"/>
    <w:rsid w:val="1D54BC64"/>
    <w:rsid w:val="1DBE9F03"/>
    <w:rsid w:val="1DCC2592"/>
    <w:rsid w:val="1EBEA957"/>
    <w:rsid w:val="1ED24CD5"/>
    <w:rsid w:val="1F207FA2"/>
    <w:rsid w:val="1F62535E"/>
    <w:rsid w:val="1F71CD87"/>
    <w:rsid w:val="1FB45713"/>
    <w:rsid w:val="20733441"/>
    <w:rsid w:val="210D6A96"/>
    <w:rsid w:val="2117FC36"/>
    <w:rsid w:val="21410AE4"/>
    <w:rsid w:val="2165E79E"/>
    <w:rsid w:val="217E59A7"/>
    <w:rsid w:val="21E37833"/>
    <w:rsid w:val="21FB8C38"/>
    <w:rsid w:val="2210B1B3"/>
    <w:rsid w:val="22256EBE"/>
    <w:rsid w:val="225E4FB2"/>
    <w:rsid w:val="229F99CC"/>
    <w:rsid w:val="2334C46B"/>
    <w:rsid w:val="24194D96"/>
    <w:rsid w:val="241E009F"/>
    <w:rsid w:val="2519A3F4"/>
    <w:rsid w:val="251B84A2"/>
    <w:rsid w:val="2559FFB3"/>
    <w:rsid w:val="2576D6F3"/>
    <w:rsid w:val="257E6A73"/>
    <w:rsid w:val="263FBA6C"/>
    <w:rsid w:val="266D6D84"/>
    <w:rsid w:val="267280A1"/>
    <w:rsid w:val="26C3A846"/>
    <w:rsid w:val="27D26C21"/>
    <w:rsid w:val="289F90A9"/>
    <w:rsid w:val="295D64A3"/>
    <w:rsid w:val="29950C5E"/>
    <w:rsid w:val="29F00A0C"/>
    <w:rsid w:val="2A315BDF"/>
    <w:rsid w:val="2A32A24C"/>
    <w:rsid w:val="2A3F9CC7"/>
    <w:rsid w:val="2A534991"/>
    <w:rsid w:val="2A8A0992"/>
    <w:rsid w:val="2AA28D8F"/>
    <w:rsid w:val="2AAC29B5"/>
    <w:rsid w:val="2AAE6BAE"/>
    <w:rsid w:val="2B24EAC2"/>
    <w:rsid w:val="2B3D7A37"/>
    <w:rsid w:val="2BE56E3D"/>
    <w:rsid w:val="2BEA6BD6"/>
    <w:rsid w:val="2C1B9D1C"/>
    <w:rsid w:val="2C245CC6"/>
    <w:rsid w:val="2C2D78B5"/>
    <w:rsid w:val="2C811AEA"/>
    <w:rsid w:val="2C911E12"/>
    <w:rsid w:val="2CD39D41"/>
    <w:rsid w:val="2CF87AE2"/>
    <w:rsid w:val="2D9021FA"/>
    <w:rsid w:val="2E381624"/>
    <w:rsid w:val="2E7551C5"/>
    <w:rsid w:val="2E865174"/>
    <w:rsid w:val="2F42B90D"/>
    <w:rsid w:val="2F5AB288"/>
    <w:rsid w:val="303C4993"/>
    <w:rsid w:val="306D2755"/>
    <w:rsid w:val="30CB82C1"/>
    <w:rsid w:val="30DE4852"/>
    <w:rsid w:val="3115EECC"/>
    <w:rsid w:val="31983580"/>
    <w:rsid w:val="31A53150"/>
    <w:rsid w:val="3226E865"/>
    <w:rsid w:val="3326FCE4"/>
    <w:rsid w:val="33464C8A"/>
    <w:rsid w:val="33C41053"/>
    <w:rsid w:val="340C40B2"/>
    <w:rsid w:val="34487C73"/>
    <w:rsid w:val="34B1A418"/>
    <w:rsid w:val="34B69003"/>
    <w:rsid w:val="34C97332"/>
    <w:rsid w:val="355FD16C"/>
    <w:rsid w:val="35986626"/>
    <w:rsid w:val="361ECDC7"/>
    <w:rsid w:val="36A67784"/>
    <w:rsid w:val="36C206A5"/>
    <w:rsid w:val="37B18DC8"/>
    <w:rsid w:val="37E0E3E2"/>
    <w:rsid w:val="37FD4F99"/>
    <w:rsid w:val="3847CF33"/>
    <w:rsid w:val="384EB4FD"/>
    <w:rsid w:val="38A6B596"/>
    <w:rsid w:val="38ADE1E0"/>
    <w:rsid w:val="392C219A"/>
    <w:rsid w:val="398B1976"/>
    <w:rsid w:val="3AD01566"/>
    <w:rsid w:val="3AE00277"/>
    <w:rsid w:val="3B7FADE1"/>
    <w:rsid w:val="3BAC4EC3"/>
    <w:rsid w:val="3CB614F8"/>
    <w:rsid w:val="3D5E5C90"/>
    <w:rsid w:val="3DDDC8D7"/>
    <w:rsid w:val="3E91F9A3"/>
    <w:rsid w:val="3EEA218F"/>
    <w:rsid w:val="3F2606AB"/>
    <w:rsid w:val="3F2D06FE"/>
    <w:rsid w:val="3FE26070"/>
    <w:rsid w:val="40A1E91E"/>
    <w:rsid w:val="40A5B530"/>
    <w:rsid w:val="40FBD2F0"/>
    <w:rsid w:val="411EA72E"/>
    <w:rsid w:val="4144B216"/>
    <w:rsid w:val="41767C06"/>
    <w:rsid w:val="418A891D"/>
    <w:rsid w:val="4194F43E"/>
    <w:rsid w:val="41F8BF93"/>
    <w:rsid w:val="43783FBC"/>
    <w:rsid w:val="438648E0"/>
    <w:rsid w:val="43B1743A"/>
    <w:rsid w:val="43B32FD5"/>
    <w:rsid w:val="44DC6DFE"/>
    <w:rsid w:val="44E7A18B"/>
    <w:rsid w:val="454F3EB6"/>
    <w:rsid w:val="456C99C6"/>
    <w:rsid w:val="4593E193"/>
    <w:rsid w:val="461911AF"/>
    <w:rsid w:val="462855DD"/>
    <w:rsid w:val="46DF2677"/>
    <w:rsid w:val="485CE3BF"/>
    <w:rsid w:val="48846AD4"/>
    <w:rsid w:val="48ACDE06"/>
    <w:rsid w:val="48CD0DB7"/>
    <w:rsid w:val="48D5EA35"/>
    <w:rsid w:val="49A13A1F"/>
    <w:rsid w:val="49B5A9CE"/>
    <w:rsid w:val="49C3D033"/>
    <w:rsid w:val="4A370402"/>
    <w:rsid w:val="4A56468D"/>
    <w:rsid w:val="4AAF515A"/>
    <w:rsid w:val="4B326684"/>
    <w:rsid w:val="4B42961D"/>
    <w:rsid w:val="4CC7117F"/>
    <w:rsid w:val="4D428FFE"/>
    <w:rsid w:val="4D6DF063"/>
    <w:rsid w:val="4D868C96"/>
    <w:rsid w:val="4DCEB249"/>
    <w:rsid w:val="4E0112A1"/>
    <w:rsid w:val="4E37977E"/>
    <w:rsid w:val="5026A0C8"/>
    <w:rsid w:val="5055184D"/>
    <w:rsid w:val="5091DC3E"/>
    <w:rsid w:val="5114E9C3"/>
    <w:rsid w:val="51A0F8BF"/>
    <w:rsid w:val="51AB603B"/>
    <w:rsid w:val="51BF60CB"/>
    <w:rsid w:val="51CDE7AB"/>
    <w:rsid w:val="5203A305"/>
    <w:rsid w:val="522B4F2F"/>
    <w:rsid w:val="52658092"/>
    <w:rsid w:val="526819F5"/>
    <w:rsid w:val="5320C564"/>
    <w:rsid w:val="53232067"/>
    <w:rsid w:val="5377DC8E"/>
    <w:rsid w:val="53ADB17F"/>
    <w:rsid w:val="543922E4"/>
    <w:rsid w:val="54708F87"/>
    <w:rsid w:val="55069884"/>
    <w:rsid w:val="55150F81"/>
    <w:rsid w:val="55969EEE"/>
    <w:rsid w:val="563137B0"/>
    <w:rsid w:val="5644F861"/>
    <w:rsid w:val="56608EFB"/>
    <w:rsid w:val="57209DFF"/>
    <w:rsid w:val="57FF7857"/>
    <w:rsid w:val="58D8C5CB"/>
    <w:rsid w:val="594552A9"/>
    <w:rsid w:val="5984BB94"/>
    <w:rsid w:val="5AF4B7CE"/>
    <w:rsid w:val="5C6D924E"/>
    <w:rsid w:val="5D34E30A"/>
    <w:rsid w:val="5E090B70"/>
    <w:rsid w:val="5E285D72"/>
    <w:rsid w:val="5F005EEA"/>
    <w:rsid w:val="60231B7A"/>
    <w:rsid w:val="602D0283"/>
    <w:rsid w:val="6059334F"/>
    <w:rsid w:val="608B5837"/>
    <w:rsid w:val="61D646DB"/>
    <w:rsid w:val="628AA0A4"/>
    <w:rsid w:val="62C2F1AB"/>
    <w:rsid w:val="6328CC71"/>
    <w:rsid w:val="63A46443"/>
    <w:rsid w:val="63E97E57"/>
    <w:rsid w:val="64AF055E"/>
    <w:rsid w:val="64C6C4AA"/>
    <w:rsid w:val="64C996D1"/>
    <w:rsid w:val="66684A6F"/>
    <w:rsid w:val="66BB9F44"/>
    <w:rsid w:val="67617EFD"/>
    <w:rsid w:val="677221EA"/>
    <w:rsid w:val="67774A23"/>
    <w:rsid w:val="67EB1C92"/>
    <w:rsid w:val="68836F97"/>
    <w:rsid w:val="688A370D"/>
    <w:rsid w:val="693B5A74"/>
    <w:rsid w:val="6941E75E"/>
    <w:rsid w:val="6996A930"/>
    <w:rsid w:val="6A0739FB"/>
    <w:rsid w:val="6A2B0A2A"/>
    <w:rsid w:val="6A5F0B1A"/>
    <w:rsid w:val="6A627619"/>
    <w:rsid w:val="6ACABDE5"/>
    <w:rsid w:val="6C07F28E"/>
    <w:rsid w:val="6C33C26A"/>
    <w:rsid w:val="6C4CF476"/>
    <w:rsid w:val="6CA1E2EE"/>
    <w:rsid w:val="6CA944F8"/>
    <w:rsid w:val="6CBF520B"/>
    <w:rsid w:val="6D3F7112"/>
    <w:rsid w:val="6D49D98B"/>
    <w:rsid w:val="6D57920E"/>
    <w:rsid w:val="6D6DC5BC"/>
    <w:rsid w:val="6D7BEC26"/>
    <w:rsid w:val="6E51021F"/>
    <w:rsid w:val="6EA1283A"/>
    <w:rsid w:val="6EC7AF64"/>
    <w:rsid w:val="6EE55FDF"/>
    <w:rsid w:val="6FC4519E"/>
    <w:rsid w:val="7047D8E8"/>
    <w:rsid w:val="70DAC352"/>
    <w:rsid w:val="71872AA7"/>
    <w:rsid w:val="721F92C0"/>
    <w:rsid w:val="722AF010"/>
    <w:rsid w:val="725663F8"/>
    <w:rsid w:val="72C7943A"/>
    <w:rsid w:val="7309C891"/>
    <w:rsid w:val="7341949B"/>
    <w:rsid w:val="7385D64D"/>
    <w:rsid w:val="73E11C5A"/>
    <w:rsid w:val="73FFB122"/>
    <w:rsid w:val="74092486"/>
    <w:rsid w:val="74341C63"/>
    <w:rsid w:val="751FC888"/>
    <w:rsid w:val="7560D027"/>
    <w:rsid w:val="766CD7CC"/>
    <w:rsid w:val="767DBADA"/>
    <w:rsid w:val="76AF06DC"/>
    <w:rsid w:val="7793E842"/>
    <w:rsid w:val="77CA56BA"/>
    <w:rsid w:val="7842244A"/>
    <w:rsid w:val="78B3915E"/>
    <w:rsid w:val="791C07DE"/>
    <w:rsid w:val="79372709"/>
    <w:rsid w:val="79C47C31"/>
    <w:rsid w:val="79CC0D65"/>
    <w:rsid w:val="7A12E721"/>
    <w:rsid w:val="7A13E2BF"/>
    <w:rsid w:val="7AD33505"/>
    <w:rsid w:val="7ADC347F"/>
    <w:rsid w:val="7AF64990"/>
    <w:rsid w:val="7B2B1A47"/>
    <w:rsid w:val="7B7AA5E9"/>
    <w:rsid w:val="7C31E66E"/>
    <w:rsid w:val="7C7308FA"/>
    <w:rsid w:val="7CBEB588"/>
    <w:rsid w:val="7D08BD69"/>
    <w:rsid w:val="7D528FD2"/>
    <w:rsid w:val="7D59253E"/>
    <w:rsid w:val="7D943E98"/>
    <w:rsid w:val="7E452ED8"/>
    <w:rsid w:val="7E5820CD"/>
    <w:rsid w:val="7E725450"/>
    <w:rsid w:val="7E926F2D"/>
    <w:rsid w:val="7ECE9BBA"/>
    <w:rsid w:val="7EF6DE37"/>
    <w:rsid w:val="7F2C81AE"/>
    <w:rsid w:val="7F554467"/>
    <w:rsid w:val="7F9063C0"/>
    <w:rsid w:val="7FC837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5DEA6A9"/>
  <w15:docId w15:val="{A6C89AE7-2791-42D4-B8DA-61A2BCF3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229F99CC"/>
    <w:pPr>
      <w:spacing w:after="160" w:line="259" w:lineRule="auto"/>
    </w:pPr>
    <w:rPr>
      <w:rFonts w:asciiTheme="minorHAnsi" w:eastAsiaTheme="minorEastAsia" w:hAnsiTheme="minorHAnsi" w:cstheme="minorBidi"/>
      <w:sz w:val="22"/>
      <w:szCs w:val="22"/>
      <w:lang w:val="en-GB" w:eastAsia="en-US"/>
    </w:rPr>
  </w:style>
  <w:style w:type="paragraph" w:styleId="Kop1">
    <w:name w:val="heading 1"/>
    <w:basedOn w:val="Standaard"/>
    <w:next w:val="Standaard"/>
    <w:uiPriority w:val="1"/>
    <w:qFormat/>
    <w:rsid w:val="229F99CC"/>
    <w:pPr>
      <w:keepNext/>
      <w:spacing w:before="240" w:after="60"/>
      <w:outlineLvl w:val="0"/>
    </w:pPr>
    <w:rPr>
      <w:rFonts w:cs="Arial"/>
      <w:b/>
      <w:bCs/>
      <w:sz w:val="32"/>
      <w:szCs w:val="32"/>
    </w:rPr>
  </w:style>
  <w:style w:type="paragraph" w:styleId="Kop2">
    <w:name w:val="heading 2"/>
    <w:basedOn w:val="Standaard"/>
    <w:next w:val="Standaard"/>
    <w:uiPriority w:val="1"/>
    <w:qFormat/>
    <w:rsid w:val="229F99CC"/>
    <w:pPr>
      <w:keepNext/>
      <w:spacing w:before="240" w:after="60"/>
      <w:outlineLvl w:val="1"/>
    </w:pPr>
    <w:rPr>
      <w:rFonts w:cs="Arial"/>
      <w:b/>
      <w:bCs/>
      <w:i/>
      <w:iCs/>
      <w:sz w:val="28"/>
      <w:szCs w:val="28"/>
    </w:rPr>
  </w:style>
  <w:style w:type="paragraph" w:styleId="Kop3">
    <w:name w:val="heading 3"/>
    <w:basedOn w:val="Standaard"/>
    <w:next w:val="Standaard"/>
    <w:uiPriority w:val="1"/>
    <w:qFormat/>
    <w:rsid w:val="229F99CC"/>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1"/>
    <w:rsid w:val="229F99CC"/>
    <w:pPr>
      <w:tabs>
        <w:tab w:val="center" w:pos="4536"/>
        <w:tab w:val="right" w:pos="9072"/>
      </w:tabs>
    </w:pPr>
  </w:style>
  <w:style w:type="paragraph" w:styleId="Voettekst">
    <w:name w:val="footer"/>
    <w:basedOn w:val="Standaard"/>
    <w:link w:val="VoettekstChar"/>
    <w:uiPriority w:val="99"/>
    <w:rsid w:val="229F99CC"/>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uiPriority w:val="1"/>
    <w:rsid w:val="229F99CC"/>
    <w:pPr>
      <w:tabs>
        <w:tab w:val="left" w:pos="192"/>
      </w:tabs>
      <w:spacing w:line="180" w:lineRule="exact"/>
    </w:pPr>
    <w:rPr>
      <w:rFonts w:cs="Verdana"/>
      <w:noProof/>
      <w:sz w:val="13"/>
      <w:szCs w:val="13"/>
    </w:rPr>
  </w:style>
  <w:style w:type="paragraph" w:styleId="Lijstopsomteken">
    <w:name w:val="List Bullet"/>
    <w:basedOn w:val="Standaard"/>
    <w:uiPriority w:val="1"/>
    <w:rsid w:val="229F99CC"/>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uiPriority w:val="1"/>
    <w:rsid w:val="229F99CC"/>
    <w:pPr>
      <w:spacing w:after="92" w:line="180" w:lineRule="exact"/>
    </w:pPr>
    <w:rPr>
      <w:noProof/>
      <w:sz w:val="13"/>
      <w:szCs w:val="13"/>
    </w:rPr>
  </w:style>
  <w:style w:type="paragraph" w:styleId="Voetnoottekst">
    <w:name w:val="footnote text"/>
    <w:basedOn w:val="Standaard"/>
    <w:uiPriority w:val="1"/>
    <w:semiHidden/>
    <w:rsid w:val="229F99CC"/>
    <w:rPr>
      <w:sz w:val="13"/>
      <w:szCs w:val="13"/>
    </w:rPr>
  </w:style>
  <w:style w:type="paragraph" w:customStyle="1" w:styleId="Huisstijl-Rubricering">
    <w:name w:val="Huisstijl-Rubricering"/>
    <w:basedOn w:val="Standaard"/>
    <w:uiPriority w:val="1"/>
    <w:rsid w:val="229F99CC"/>
    <w:pPr>
      <w:spacing w:line="180" w:lineRule="exact"/>
    </w:pPr>
    <w:rPr>
      <w:rFonts w:cs="Verdana-Bold"/>
      <w:b/>
      <w:bCs/>
      <w:smallCaps/>
      <w:noProof/>
      <w:sz w:val="16"/>
      <w:szCs w:val="16"/>
    </w:rPr>
  </w:style>
  <w:style w:type="paragraph" w:customStyle="1" w:styleId="Huisstijl-NAW">
    <w:name w:val="Huisstijl-NAW"/>
    <w:basedOn w:val="Standaard"/>
    <w:uiPriority w:val="1"/>
    <w:rsid w:val="229F99CC"/>
    <w:rPr>
      <w:rFonts w:cs="Verdana"/>
      <w:noProof/>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uiPriority w:val="1"/>
    <w:rsid w:val="229F99CC"/>
    <w:pPr>
      <w:spacing w:line="180" w:lineRule="exact"/>
    </w:pPr>
    <w:rPr>
      <w:noProof/>
      <w:sz w:val="13"/>
      <w:szCs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uiPriority w:val="1"/>
    <w:rsid w:val="229F99CC"/>
    <w:pPr>
      <w:spacing w:line="180" w:lineRule="exact"/>
    </w:pPr>
    <w:rPr>
      <w:i/>
      <w:iCs/>
      <w:noProof/>
      <w:sz w:val="13"/>
      <w:szCs w:val="13"/>
    </w:rPr>
  </w:style>
  <w:style w:type="paragraph" w:customStyle="1" w:styleId="Huisstijl-KixCode">
    <w:name w:val="Huisstijl-KixCode"/>
    <w:basedOn w:val="Standaard"/>
    <w:uiPriority w:val="1"/>
    <w:rsid w:val="229F99CC"/>
    <w:pPr>
      <w:spacing w:before="60"/>
    </w:pPr>
    <w:rPr>
      <w:rFonts w:ascii="KIX Barcode" w:hAnsi="KIX Barcode"/>
      <w:b/>
      <w:bCs/>
      <w:smallCaps/>
      <w:noProof/>
      <w:sz w:val="24"/>
      <w:szCs w:val="24"/>
    </w:rPr>
  </w:style>
  <w:style w:type="paragraph" w:customStyle="1" w:styleId="Huisstijl-Paginanummering">
    <w:name w:val="Huisstijl-Paginanummering"/>
    <w:basedOn w:val="Standaard"/>
    <w:uiPriority w:val="1"/>
    <w:rsid w:val="229F99CC"/>
    <w:pPr>
      <w:spacing w:line="180" w:lineRule="exact"/>
    </w:pPr>
    <w:rPr>
      <w:noProof/>
      <w:sz w:val="13"/>
      <w:szCs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uiPriority w:val="1"/>
    <w:rsid w:val="229F99CC"/>
    <w:pPr>
      <w:numPr>
        <w:numId w:val="2"/>
      </w:numPr>
      <w:tabs>
        <w:tab w:val="clear" w:pos="227"/>
        <w:tab w:val="left" w:pos="454"/>
      </w:tabs>
      <w:ind w:left="454" w:hanging="227"/>
    </w:pPr>
    <w:rPr>
      <w:noProof/>
    </w:rPr>
  </w:style>
  <w:style w:type="paragraph" w:customStyle="1" w:styleId="CustomerCode">
    <w:name w:val="CustomerCode"/>
    <w:basedOn w:val="Standaard"/>
    <w:uiPriority w:val="1"/>
    <w:rsid w:val="229F99CC"/>
    <w:rPr>
      <w:rFonts w:ascii="KIX Barcode" w:hAnsi="KIX Barcode"/>
      <w:sz w:val="20"/>
      <w:szCs w:val="20"/>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uiPriority w:val="1"/>
    <w:qFormat/>
    <w:rsid w:val="229F99CC"/>
    <w:pPr>
      <w:spacing w:line="320" w:lineRule="atLeast"/>
      <w:outlineLvl w:val="1"/>
    </w:pPr>
    <w:rPr>
      <w:sz w:val="24"/>
      <w:szCs w:val="24"/>
    </w:rPr>
  </w:style>
  <w:style w:type="paragraph" w:styleId="Titel">
    <w:name w:val="Title"/>
    <w:basedOn w:val="Standaard"/>
    <w:uiPriority w:val="1"/>
    <w:qFormat/>
    <w:rsid w:val="229F99CC"/>
    <w:pPr>
      <w:spacing w:line="320" w:lineRule="atLeast"/>
      <w:outlineLvl w:val="0"/>
    </w:pPr>
    <w:rPr>
      <w:rFonts w:cs="Arial"/>
      <w:sz w:val="64"/>
      <w:szCs w:val="64"/>
    </w:rPr>
  </w:style>
  <w:style w:type="paragraph" w:styleId="Ballontekst">
    <w:name w:val="Balloon Text"/>
    <w:basedOn w:val="Standaard"/>
    <w:link w:val="BallontekstChar"/>
    <w:uiPriority w:val="1"/>
    <w:rsid w:val="229F99CC"/>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rsid w:val="000F39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EF2CA4"/>
    <w:rPr>
      <w:sz w:val="16"/>
      <w:szCs w:val="16"/>
    </w:rPr>
  </w:style>
  <w:style w:type="paragraph" w:styleId="Tekstopmerking">
    <w:name w:val="annotation text"/>
    <w:basedOn w:val="Standaard"/>
    <w:link w:val="TekstopmerkingChar"/>
    <w:uiPriority w:val="1"/>
    <w:semiHidden/>
    <w:unhideWhenUsed/>
    <w:rsid w:val="229F99CC"/>
    <w:rPr>
      <w:sz w:val="20"/>
      <w:szCs w:val="20"/>
    </w:rPr>
  </w:style>
  <w:style w:type="character" w:customStyle="1" w:styleId="TekstopmerkingChar">
    <w:name w:val="Tekst opmerking Char"/>
    <w:basedOn w:val="Standaardalinea-lettertype"/>
    <w:link w:val="Tekstopmerking"/>
    <w:semiHidden/>
    <w:rsid w:val="00EF2CA4"/>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semiHidden/>
    <w:unhideWhenUsed/>
    <w:rsid w:val="00EF2CA4"/>
    <w:rPr>
      <w:b/>
      <w:bCs/>
    </w:rPr>
  </w:style>
  <w:style w:type="character" w:customStyle="1" w:styleId="OnderwerpvanopmerkingChar">
    <w:name w:val="Onderwerp van opmerking Char"/>
    <w:basedOn w:val="TekstopmerkingChar"/>
    <w:link w:val="Onderwerpvanopmerking"/>
    <w:semiHidden/>
    <w:rsid w:val="00EF2CA4"/>
    <w:rPr>
      <w:rFonts w:asciiTheme="minorHAnsi" w:eastAsiaTheme="minorHAnsi" w:hAnsiTheme="minorHAnsi" w:cstheme="minorBidi"/>
      <w:b/>
      <w:bCs/>
      <w:lang w:eastAsia="en-US"/>
    </w:rPr>
  </w:style>
  <w:style w:type="character" w:styleId="Onopgelostemelding">
    <w:name w:val="Unresolved Mention"/>
    <w:basedOn w:val="Standaardalinea-lettertype"/>
    <w:uiPriority w:val="99"/>
    <w:semiHidden/>
    <w:unhideWhenUsed/>
    <w:rsid w:val="003B5470"/>
    <w:rPr>
      <w:color w:val="605E5C"/>
      <w:shd w:val="clear" w:color="auto" w:fill="E1DFDD"/>
    </w:rPr>
  </w:style>
  <w:style w:type="character" w:styleId="Tekstvantijdelijkeaanduiding">
    <w:name w:val="Placeholder Text"/>
    <w:basedOn w:val="Standaardalinea-lettertype"/>
    <w:uiPriority w:val="99"/>
    <w:semiHidden/>
    <w:rsid w:val="006B64C8"/>
    <w:rPr>
      <w:color w:val="808080"/>
    </w:rPr>
  </w:style>
  <w:style w:type="paragraph" w:styleId="Lijstalinea">
    <w:name w:val="List Paragraph"/>
    <w:basedOn w:val="Standaard"/>
    <w:link w:val="LijstalineaChar"/>
    <w:uiPriority w:val="34"/>
    <w:qFormat/>
    <w:rsid w:val="229F99CC"/>
    <w:pPr>
      <w:ind w:left="720"/>
      <w:contextualSpacing/>
    </w:pPr>
  </w:style>
  <w:style w:type="table" w:styleId="Onopgemaaktetabel1">
    <w:name w:val="Plain Table 1"/>
    <w:basedOn w:val="Standaardtabel"/>
    <w:uiPriority w:val="41"/>
    <w:rsid w:val="003A158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3A158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VoettekstChar">
    <w:name w:val="Voettekst Char"/>
    <w:basedOn w:val="Standaardalinea-lettertype"/>
    <w:link w:val="Voettekst"/>
    <w:uiPriority w:val="99"/>
    <w:rsid w:val="003A158C"/>
    <w:rPr>
      <w:rFonts w:asciiTheme="minorHAnsi" w:eastAsiaTheme="minorHAnsi" w:hAnsiTheme="minorHAnsi" w:cstheme="minorBidi"/>
      <w:sz w:val="22"/>
      <w:szCs w:val="22"/>
      <w:lang w:eastAsia="en-US"/>
    </w:rPr>
  </w:style>
  <w:style w:type="paragraph" w:customStyle="1" w:styleId="Documentvoetnoot">
    <w:name w:val="Documentvoetnoot"/>
    <w:basedOn w:val="Standaard"/>
    <w:link w:val="DocumentvoetnootChar"/>
    <w:uiPriority w:val="1"/>
    <w:rsid w:val="229F99CC"/>
    <w:pPr>
      <w:spacing w:before="60" w:after="0" w:line="400" w:lineRule="atLeast"/>
    </w:pPr>
    <w:rPr>
      <w:rFonts w:ascii="Verdana" w:eastAsia="Times New Roman" w:hAnsi="Verdana" w:cs="Times New Roman"/>
      <w:b/>
      <w:bCs/>
      <w:sz w:val="14"/>
      <w:szCs w:val="14"/>
      <w:lang w:eastAsia="nl-NL"/>
    </w:rPr>
  </w:style>
  <w:style w:type="character" w:customStyle="1" w:styleId="DocumentvoetnootChar">
    <w:name w:val="Documentvoetnoot Char"/>
    <w:link w:val="Documentvoetnoot"/>
    <w:rsid w:val="00281C78"/>
    <w:rPr>
      <w:rFonts w:ascii="Verdana" w:hAnsi="Verdana"/>
      <w:b/>
      <w:sz w:val="14"/>
      <w:szCs w:val="24"/>
    </w:rPr>
  </w:style>
  <w:style w:type="table" w:styleId="Tabelrasterlicht">
    <w:name w:val="Grid Table Light"/>
    <w:basedOn w:val="Standaardtabel"/>
    <w:uiPriority w:val="40"/>
    <w:rsid w:val="001656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GevolgdeHyperlink">
    <w:name w:val="FollowedHyperlink"/>
    <w:basedOn w:val="Standaardalinea-lettertype"/>
    <w:semiHidden/>
    <w:unhideWhenUsed/>
    <w:rsid w:val="001775E0"/>
    <w:rPr>
      <w:color w:val="800080" w:themeColor="followedHyperlink"/>
      <w:u w:val="single"/>
    </w:rPr>
  </w:style>
  <w:style w:type="character" w:customStyle="1" w:styleId="LijstalineaChar">
    <w:name w:val="Lijstalinea Char"/>
    <w:basedOn w:val="Standaardalinea-lettertype"/>
    <w:link w:val="Lijstalinea"/>
    <w:uiPriority w:val="34"/>
    <w:rsid w:val="0077106C"/>
    <w:rPr>
      <w:rFonts w:asciiTheme="minorHAnsi" w:eastAsiaTheme="minorHAnsi" w:hAnsiTheme="minorHAnsi" w:cstheme="minorBidi"/>
      <w:sz w:val="22"/>
      <w:szCs w:val="22"/>
      <w:lang w:eastAsia="en-US"/>
    </w:rPr>
  </w:style>
  <w:style w:type="paragraph" w:styleId="Geenafstand">
    <w:name w:val="No Spacing"/>
    <w:basedOn w:val="Standaard"/>
    <w:link w:val="GeenafstandChar"/>
    <w:uiPriority w:val="1"/>
    <w:qFormat/>
    <w:rsid w:val="229F99CC"/>
    <w:pPr>
      <w:spacing w:after="0"/>
    </w:pPr>
    <w:rPr>
      <w:rFonts w:ascii="Verdana" w:eastAsia="Times New Roman" w:hAnsi="Verdana" w:cs="Times New Roman"/>
      <w:sz w:val="18"/>
      <w:szCs w:val="18"/>
      <w:lang w:eastAsia="nl-NL"/>
    </w:rPr>
  </w:style>
  <w:style w:type="character" w:customStyle="1" w:styleId="GeenafstandChar">
    <w:name w:val="Geen afstand Char"/>
    <w:basedOn w:val="Standaardalinea-lettertype"/>
    <w:link w:val="Geenafstand"/>
    <w:uiPriority w:val="1"/>
    <w:rsid w:val="0077106C"/>
    <w:rPr>
      <w:rFonts w:ascii="Verdana" w:hAnsi="Verdana"/>
      <w:sz w:val="18"/>
      <w:szCs w:val="24"/>
    </w:rPr>
  </w:style>
  <w:style w:type="character" w:customStyle="1" w:styleId="KoptekstChar">
    <w:name w:val="Koptekst Char"/>
    <w:link w:val="Koptekst"/>
    <w:rsid w:val="00AC5509"/>
    <w:rPr>
      <w:rFonts w:asciiTheme="minorHAnsi" w:eastAsiaTheme="minorHAnsi" w:hAnsiTheme="minorHAnsi" w:cstheme="minorBidi"/>
      <w:sz w:val="22"/>
      <w:szCs w:val="22"/>
      <w:lang w:eastAsia="en-US"/>
    </w:rPr>
  </w:style>
  <w:style w:type="paragraph" w:customStyle="1" w:styleId="Default">
    <w:name w:val="Default"/>
    <w:rsid w:val="002E789E"/>
    <w:pPr>
      <w:autoSpaceDE w:val="0"/>
      <w:autoSpaceDN w:val="0"/>
      <w:adjustRightInd w:val="0"/>
    </w:pPr>
    <w:rPr>
      <w:rFonts w:ascii="Verdana" w:hAnsi="Verdana" w:cs="Verdana"/>
      <w:color w:val="000000"/>
      <w:sz w:val="24"/>
      <w:szCs w:val="24"/>
    </w:rPr>
  </w:style>
  <w:style w:type="paragraph" w:customStyle="1" w:styleId="KOP20">
    <w:name w:val="KOP 2"/>
    <w:basedOn w:val="Standaard"/>
    <w:uiPriority w:val="1"/>
    <w:qFormat/>
    <w:rsid w:val="229F99CC"/>
    <w:pPr>
      <w:tabs>
        <w:tab w:val="left" w:pos="1134"/>
        <w:tab w:val="left" w:pos="2268"/>
        <w:tab w:val="left" w:pos="2552"/>
        <w:tab w:val="left" w:pos="2835"/>
        <w:tab w:val="left" w:pos="5670"/>
        <w:tab w:val="left" w:pos="6804"/>
        <w:tab w:val="left" w:pos="7371"/>
        <w:tab w:val="left" w:pos="7938"/>
        <w:tab w:val="left" w:pos="8222"/>
        <w:tab w:val="left" w:pos="8392"/>
      </w:tabs>
      <w:spacing w:after="0" w:line="240" w:lineRule="atLeast"/>
    </w:pPr>
    <w:rPr>
      <w:rFonts w:ascii="Verdana" w:eastAsia="Times New Roman" w:hAnsi="Verdana" w:cs="Tahoma"/>
      <w:b/>
      <w:bCs/>
      <w:sz w:val="18"/>
      <w:szCs w:val="18"/>
      <w:lang w:eastAsia="nl-NL"/>
    </w:rPr>
  </w:style>
  <w:style w:type="paragraph" w:customStyle="1" w:styleId="CBIkop1">
    <w:name w:val="CBI kop 1"/>
    <w:basedOn w:val="Standaard"/>
    <w:uiPriority w:val="1"/>
    <w:qFormat/>
    <w:rsid w:val="229F99CC"/>
    <w:pPr>
      <w:spacing w:after="60"/>
    </w:pPr>
    <w:rPr>
      <w:rFonts w:ascii="RijksoverheidSansHeadingTT" w:hAnsi="RijksoverheidSansHeadingTT"/>
      <w:b/>
      <w:bCs/>
      <w:color w:val="FFB612"/>
      <w:sz w:val="48"/>
      <w:szCs w:val="48"/>
    </w:rPr>
  </w:style>
  <w:style w:type="paragraph" w:customStyle="1" w:styleId="PLATTETEKST">
    <w:name w:val="PLATTE TEKST"/>
    <w:basedOn w:val="Standaard"/>
    <w:uiPriority w:val="1"/>
    <w:qFormat/>
    <w:rsid w:val="229F99CC"/>
    <w:pPr>
      <w:spacing w:after="0" w:line="240" w:lineRule="atLeast"/>
    </w:pPr>
    <w:rPr>
      <w:rFonts w:ascii="Verdana" w:eastAsia="Times New Roman" w:hAnsi="Verdana" w:cs="Times New Roman"/>
      <w:sz w:val="18"/>
      <w:szCs w:val="18"/>
      <w:lang w:eastAsia="nl-NL"/>
    </w:rPr>
  </w:style>
  <w:style w:type="paragraph" w:styleId="Revisie">
    <w:name w:val="Revision"/>
    <w:hidden/>
    <w:uiPriority w:val="99"/>
    <w:semiHidden/>
    <w:rsid w:val="00923C4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0361F-BDAF-4692-9B3A-C8F05CBC874E}">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1501</Words>
  <Characters>8260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Impact Clusters Annex lll Indicators 2026</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Clusters Annex lll Indicators 2026</dc:title>
  <dc:subject/>
  <dc:creator>Rijksdienst voor Ondernemend Nederland</dc:creator>
  <cp:keywords/>
  <cp:lastModifiedBy>Rijksdienst voor `Ondernemend Nederland</cp:lastModifiedBy>
  <cp:revision>2</cp:revision>
  <dcterms:created xsi:type="dcterms:W3CDTF">2026-02-24T07:32:00Z</dcterms:created>
  <dcterms:modified xsi:type="dcterms:W3CDTF">2026-02-24T07:32:00Z</dcterms:modified>
  <cp:category/>
</cp:coreProperties>
</file>