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305C5" w14:textId="5F660AF2" w:rsidR="0054638D" w:rsidRPr="00DE79CB" w:rsidRDefault="0054638D" w:rsidP="00655670">
      <w:pPr>
        <w:pStyle w:val="Plattetekst"/>
        <w:ind w:right="181"/>
        <w:rPr>
          <w:b/>
          <w:bCs/>
          <w:sz w:val="18"/>
          <w:szCs w:val="18"/>
          <w:lang w:val="en-US"/>
        </w:rPr>
      </w:pPr>
      <w:bookmarkStart w:id="0" w:name="_bookmark0"/>
      <w:bookmarkStart w:id="1" w:name="d17e57"/>
      <w:bookmarkEnd w:id="0"/>
      <w:bookmarkEnd w:id="1"/>
      <w:r w:rsidRPr="00DE79CB">
        <w:rPr>
          <w:b/>
          <w:bCs/>
          <w:sz w:val="18"/>
          <w:szCs w:val="18"/>
          <w:lang w:val="en-GB"/>
        </w:rPr>
        <w:t>Order of the</w:t>
      </w:r>
      <w:r w:rsidR="007E491F" w:rsidRPr="00DE79CB">
        <w:rPr>
          <w:b/>
          <w:bCs/>
          <w:sz w:val="18"/>
          <w:szCs w:val="18"/>
          <w:lang w:val="en-GB"/>
        </w:rPr>
        <w:t xml:space="preserve"> Minister</w:t>
      </w:r>
      <w:r w:rsidRPr="00DE79CB">
        <w:rPr>
          <w:b/>
          <w:bCs/>
          <w:sz w:val="18"/>
          <w:szCs w:val="18"/>
          <w:lang w:val="en-GB"/>
        </w:rPr>
        <w:t xml:space="preserve"> of Foreign </w:t>
      </w:r>
      <w:r w:rsidR="007E491F" w:rsidRPr="00DE79CB">
        <w:rPr>
          <w:b/>
          <w:bCs/>
          <w:sz w:val="18"/>
          <w:szCs w:val="18"/>
          <w:lang w:val="en-GB"/>
        </w:rPr>
        <w:t>Trade and Development Cooperation</w:t>
      </w:r>
      <w:r w:rsidRPr="00DE79CB">
        <w:rPr>
          <w:b/>
          <w:bCs/>
          <w:sz w:val="18"/>
          <w:szCs w:val="18"/>
          <w:lang w:val="en-GB"/>
        </w:rPr>
        <w:t xml:space="preserve"> dated </w:t>
      </w:r>
      <w:r w:rsidR="00ED16CB" w:rsidRPr="00DE79CB">
        <w:rPr>
          <w:b/>
          <w:bCs/>
          <w:sz w:val="18"/>
          <w:szCs w:val="18"/>
          <w:lang w:val="en-GB"/>
        </w:rPr>
        <w:t>7 May</w:t>
      </w:r>
      <w:r w:rsidR="005A6EF3" w:rsidRPr="00DE79CB">
        <w:rPr>
          <w:b/>
          <w:bCs/>
          <w:sz w:val="18"/>
          <w:szCs w:val="18"/>
          <w:lang w:val="en-GB"/>
        </w:rPr>
        <w:t xml:space="preserve"> 2026</w:t>
      </w:r>
      <w:r w:rsidRPr="00DE79CB">
        <w:rPr>
          <w:b/>
          <w:bCs/>
          <w:sz w:val="18"/>
          <w:szCs w:val="18"/>
          <w:lang w:val="en-GB"/>
        </w:rPr>
        <w:t xml:space="preserve">, no. </w:t>
      </w:r>
      <w:r w:rsidR="00ED16CB" w:rsidRPr="00DE79CB">
        <w:rPr>
          <w:b/>
          <w:bCs/>
          <w:sz w:val="18"/>
          <w:szCs w:val="18"/>
          <w:lang w:val="en-GB"/>
        </w:rPr>
        <w:t>BZ2627337</w:t>
      </w:r>
      <w:r w:rsidRPr="00DE79CB">
        <w:rPr>
          <w:b/>
          <w:bCs/>
          <w:sz w:val="18"/>
          <w:szCs w:val="18"/>
          <w:lang w:val="en-GB"/>
        </w:rPr>
        <w:t xml:space="preserve">, laying down administrative rules and a </w:t>
      </w:r>
      <w:r w:rsidR="00ED16CB" w:rsidRPr="00DE79CB">
        <w:rPr>
          <w:b/>
          <w:bCs/>
          <w:sz w:val="18"/>
          <w:szCs w:val="18"/>
          <w:lang w:val="en-GB"/>
        </w:rPr>
        <w:t xml:space="preserve">grant </w:t>
      </w:r>
      <w:r w:rsidRPr="00DE79CB">
        <w:rPr>
          <w:b/>
          <w:bCs/>
          <w:sz w:val="18"/>
          <w:szCs w:val="18"/>
          <w:lang w:val="en-GB"/>
        </w:rPr>
        <w:t>ceiling for grants awarded under the Ministry of Foreign Affairs Grant Regulations 2006 (Grant Programme Fair Focus on Trade)</w:t>
      </w:r>
    </w:p>
    <w:p w14:paraId="117050E0" w14:textId="77777777" w:rsidR="00A511FE" w:rsidRPr="00DE79CB" w:rsidRDefault="00A511FE" w:rsidP="00655670">
      <w:pPr>
        <w:pStyle w:val="Plattetekst"/>
        <w:ind w:right="181"/>
        <w:rPr>
          <w:sz w:val="18"/>
          <w:szCs w:val="18"/>
          <w:lang w:val="en-US"/>
        </w:rPr>
      </w:pPr>
    </w:p>
    <w:p w14:paraId="57429AB4" w14:textId="6103C2C6" w:rsidR="0054638D" w:rsidRPr="00DE79CB" w:rsidRDefault="0054638D" w:rsidP="00655670">
      <w:pPr>
        <w:pStyle w:val="Plattetekst"/>
        <w:rPr>
          <w:sz w:val="18"/>
          <w:szCs w:val="18"/>
          <w:lang w:val="en-US"/>
        </w:rPr>
      </w:pPr>
      <w:r w:rsidRPr="00DE79CB">
        <w:rPr>
          <w:sz w:val="18"/>
          <w:szCs w:val="18"/>
          <w:lang w:val="en-GB"/>
        </w:rPr>
        <w:t xml:space="preserve">The </w:t>
      </w:r>
      <w:r w:rsidR="00791BCC" w:rsidRPr="00DE79CB">
        <w:rPr>
          <w:sz w:val="18"/>
          <w:szCs w:val="18"/>
          <w:lang w:val="en-GB"/>
        </w:rPr>
        <w:t xml:space="preserve">Minister </w:t>
      </w:r>
      <w:r w:rsidRPr="00DE79CB">
        <w:rPr>
          <w:sz w:val="18"/>
          <w:szCs w:val="18"/>
          <w:lang w:val="en-GB"/>
        </w:rPr>
        <w:t xml:space="preserve">of Foreign </w:t>
      </w:r>
      <w:r w:rsidR="00791BCC" w:rsidRPr="00DE79CB">
        <w:rPr>
          <w:sz w:val="18"/>
          <w:szCs w:val="18"/>
          <w:lang w:val="en-GB"/>
        </w:rPr>
        <w:t>Trade and Development Cooperation</w:t>
      </w:r>
      <w:r w:rsidRPr="00DE79CB">
        <w:rPr>
          <w:sz w:val="18"/>
          <w:szCs w:val="18"/>
          <w:lang w:val="en-GB"/>
        </w:rPr>
        <w:t>,</w:t>
      </w:r>
    </w:p>
    <w:p w14:paraId="3135D0FF" w14:textId="77777777" w:rsidR="0054638D" w:rsidRPr="00DE79CB" w:rsidRDefault="0054638D" w:rsidP="00655670">
      <w:pPr>
        <w:pStyle w:val="Plattetekst"/>
        <w:rPr>
          <w:sz w:val="18"/>
          <w:szCs w:val="18"/>
          <w:lang w:val="en-US"/>
        </w:rPr>
      </w:pPr>
    </w:p>
    <w:p w14:paraId="789F85CC" w14:textId="1E1AC988" w:rsidR="0054638D" w:rsidRPr="00DE79CB" w:rsidRDefault="0054638D" w:rsidP="00655670">
      <w:pPr>
        <w:pStyle w:val="Plattetekst"/>
        <w:rPr>
          <w:sz w:val="18"/>
          <w:szCs w:val="18"/>
          <w:lang w:val="en-US"/>
        </w:rPr>
      </w:pPr>
      <w:r w:rsidRPr="00DE79CB">
        <w:rPr>
          <w:sz w:val="18"/>
          <w:szCs w:val="18"/>
          <w:lang w:val="en-GB"/>
        </w:rPr>
        <w:t>Having regard to Articles 6 and 7 of the Ministry of Foreign Affairs Grant Decree;</w:t>
      </w:r>
    </w:p>
    <w:p w14:paraId="1ADCE809" w14:textId="77777777" w:rsidR="0054638D" w:rsidRPr="00DE79CB" w:rsidRDefault="0054638D" w:rsidP="00655670">
      <w:pPr>
        <w:pStyle w:val="Plattetekst"/>
        <w:rPr>
          <w:sz w:val="18"/>
          <w:szCs w:val="18"/>
          <w:lang w:val="en-US"/>
        </w:rPr>
      </w:pPr>
    </w:p>
    <w:p w14:paraId="6116E638" w14:textId="0DCF209B" w:rsidR="002C0C77" w:rsidRPr="00DE79CB" w:rsidRDefault="0054638D"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Having regard to Article 4.2, paragraph 1</w:t>
      </w:r>
      <w:r w:rsidR="00791BCC" w:rsidRPr="00DE79CB">
        <w:rPr>
          <w:rFonts w:ascii="Verdana" w:eastAsia="Verdana" w:hAnsi="Verdana" w:cs="Verdana"/>
          <w:sz w:val="18"/>
          <w:szCs w:val="18"/>
          <w:lang w:val="en-GB"/>
        </w:rPr>
        <w:t>(c)</w:t>
      </w:r>
      <w:r w:rsidRPr="00DE79CB">
        <w:rPr>
          <w:rFonts w:ascii="Verdana" w:eastAsia="Verdana" w:hAnsi="Verdana" w:cs="Verdana"/>
          <w:sz w:val="18"/>
          <w:szCs w:val="18"/>
          <w:lang w:val="en-GB"/>
        </w:rPr>
        <w:t>, and Article 4.3, paragraph 1</w:t>
      </w:r>
      <w:r w:rsidR="00791BCC" w:rsidRPr="00DE79CB">
        <w:rPr>
          <w:rFonts w:ascii="Verdana" w:eastAsia="Verdana" w:hAnsi="Verdana" w:cs="Verdana"/>
          <w:sz w:val="18"/>
          <w:szCs w:val="18"/>
          <w:lang w:val="en-GB"/>
        </w:rPr>
        <w:t>(c)</w:t>
      </w:r>
      <w:r w:rsidRPr="00DE79CB">
        <w:rPr>
          <w:rFonts w:ascii="Verdana" w:eastAsia="Verdana" w:hAnsi="Verdana" w:cs="Verdana"/>
          <w:sz w:val="18"/>
          <w:szCs w:val="18"/>
          <w:lang w:val="en-GB"/>
        </w:rPr>
        <w:t>, of the Ministry of Foreign Affairs Grant Regulations 2006;</w:t>
      </w:r>
    </w:p>
    <w:p w14:paraId="2D3DFCA5" w14:textId="77777777" w:rsidR="009E39BA" w:rsidRPr="00DE79CB" w:rsidRDefault="009E39BA" w:rsidP="00655670">
      <w:pPr>
        <w:spacing w:after="0" w:line="240" w:lineRule="auto"/>
        <w:rPr>
          <w:rFonts w:ascii="Verdana" w:eastAsia="Verdana" w:hAnsi="Verdana" w:cs="Verdana"/>
          <w:sz w:val="18"/>
          <w:szCs w:val="18"/>
          <w:lang w:val="en-US"/>
        </w:rPr>
      </w:pPr>
    </w:p>
    <w:p w14:paraId="468ACBA8" w14:textId="77777777" w:rsidR="002C0C77" w:rsidRPr="00DE79CB" w:rsidRDefault="002C0C77"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Orders as follows:</w:t>
      </w:r>
    </w:p>
    <w:p w14:paraId="5845EE3B" w14:textId="77777777" w:rsidR="009E39BA" w:rsidRPr="00DE79CB" w:rsidRDefault="009E39BA" w:rsidP="00655670">
      <w:pPr>
        <w:spacing w:after="0" w:line="240" w:lineRule="auto"/>
        <w:rPr>
          <w:rFonts w:ascii="Verdana" w:eastAsia="Verdana" w:hAnsi="Verdana" w:cs="Verdana"/>
          <w:b/>
          <w:bCs/>
          <w:sz w:val="18"/>
          <w:szCs w:val="18"/>
          <w:lang w:val="en-US"/>
        </w:rPr>
      </w:pPr>
      <w:bookmarkStart w:id="2" w:name="d17e69"/>
      <w:bookmarkStart w:id="3" w:name="d17e73"/>
      <w:bookmarkEnd w:id="2"/>
      <w:bookmarkEnd w:id="3"/>
    </w:p>
    <w:p w14:paraId="2D8BFDDB" w14:textId="046D75D4" w:rsidR="009647A0" w:rsidRPr="00DE79CB" w:rsidRDefault="002C0C77" w:rsidP="00655670">
      <w:pPr>
        <w:spacing w:after="0" w:line="240" w:lineRule="auto"/>
        <w:rPr>
          <w:rFonts w:ascii="Verdana" w:eastAsia="Verdana" w:hAnsi="Verdana" w:cs="Verdana"/>
          <w:b/>
          <w:bCs/>
          <w:sz w:val="18"/>
          <w:szCs w:val="18"/>
          <w:lang w:val="en-US"/>
        </w:rPr>
      </w:pPr>
      <w:r w:rsidRPr="00DE79CB">
        <w:rPr>
          <w:rFonts w:ascii="Verdana" w:eastAsia="Verdana" w:hAnsi="Verdana" w:cs="Verdana"/>
          <w:b/>
          <w:bCs/>
          <w:sz w:val="18"/>
          <w:szCs w:val="18"/>
          <w:lang w:val="en-GB"/>
        </w:rPr>
        <w:t>Article 1</w:t>
      </w:r>
    </w:p>
    <w:p w14:paraId="5C08FD88" w14:textId="77777777" w:rsidR="00507095" w:rsidRPr="00DE79CB" w:rsidRDefault="00507095" w:rsidP="00655670">
      <w:pPr>
        <w:spacing w:after="0" w:line="240" w:lineRule="auto"/>
        <w:rPr>
          <w:rFonts w:ascii="Verdana" w:eastAsia="Verdana" w:hAnsi="Verdana" w:cs="Verdana"/>
          <w:b/>
          <w:bCs/>
          <w:sz w:val="18"/>
          <w:szCs w:val="18"/>
          <w:lang w:val="en-US"/>
        </w:rPr>
      </w:pPr>
    </w:p>
    <w:p w14:paraId="6FB1AB8A" w14:textId="77B3E840" w:rsidR="002C0C77" w:rsidRPr="00DE79CB" w:rsidRDefault="002C0C77" w:rsidP="00655670">
      <w:pPr>
        <w:spacing w:after="0" w:line="240" w:lineRule="auto"/>
        <w:rPr>
          <w:rFonts w:ascii="Verdana" w:eastAsia="Verdana" w:hAnsi="Verdana" w:cs="Verdana"/>
          <w:sz w:val="18"/>
          <w:szCs w:val="18"/>
          <w:lang w:val="en-US"/>
        </w:rPr>
      </w:pPr>
      <w:r w:rsidRPr="00DE79CB">
        <w:rPr>
          <w:rFonts w:ascii="Verdana" w:hAnsi="Verdana"/>
          <w:sz w:val="18"/>
          <w:szCs w:val="18"/>
          <w:lang w:val="en-GB"/>
        </w:rPr>
        <w:t xml:space="preserve">For the award of grants pursuant to Article 4.2, paragraph 1(c) and Article 4.3, paragraph 1(c) of the Ministry of Foreign Affairs Grant Regulations 2006 for activities aimed at capacity building of, service provision by, and dialogue conducted by civil society organisations in or for low- and middle-income countries, on promoting </w:t>
      </w:r>
      <w:r w:rsidR="00487EC6" w:rsidRPr="00DE79CB">
        <w:rPr>
          <w:rFonts w:ascii="Verdana" w:hAnsi="Verdana"/>
          <w:sz w:val="18"/>
          <w:szCs w:val="18"/>
          <w:lang w:val="en-GB"/>
        </w:rPr>
        <w:t xml:space="preserve">sustainable </w:t>
      </w:r>
      <w:r w:rsidRPr="00DE79CB">
        <w:rPr>
          <w:rFonts w:ascii="Verdana" w:hAnsi="Verdana"/>
          <w:sz w:val="18"/>
          <w:szCs w:val="18"/>
          <w:lang w:val="en-GB"/>
        </w:rPr>
        <w:t xml:space="preserve">and fair trade, the policy rules </w:t>
      </w:r>
      <w:r w:rsidR="004F0D5F" w:rsidRPr="00DE79CB">
        <w:rPr>
          <w:rFonts w:ascii="Verdana" w:hAnsi="Verdana"/>
          <w:sz w:val="18"/>
          <w:szCs w:val="18"/>
          <w:lang w:val="en-GB"/>
        </w:rPr>
        <w:t>(including the a</w:t>
      </w:r>
      <w:r w:rsidR="002E1907" w:rsidRPr="00DE79CB">
        <w:rPr>
          <w:rFonts w:ascii="Verdana" w:hAnsi="Verdana"/>
          <w:sz w:val="18"/>
          <w:szCs w:val="18"/>
          <w:lang w:val="en-GB"/>
        </w:rPr>
        <w:t>ppendices</w:t>
      </w:r>
      <w:r w:rsidR="004F0D5F" w:rsidRPr="00DE79CB">
        <w:rPr>
          <w:rFonts w:ascii="Verdana" w:hAnsi="Verdana"/>
          <w:sz w:val="18"/>
          <w:szCs w:val="18"/>
          <w:lang w:val="en-GB"/>
        </w:rPr>
        <w:t xml:space="preserve">) </w:t>
      </w:r>
      <w:r w:rsidRPr="00DE79CB">
        <w:rPr>
          <w:rFonts w:ascii="Verdana" w:hAnsi="Verdana"/>
          <w:sz w:val="18"/>
          <w:szCs w:val="18"/>
          <w:lang w:val="en-GB"/>
        </w:rPr>
        <w:t xml:space="preserve">annexed to this decision shall apply for the period from the entry into force of this decision </w:t>
      </w:r>
      <w:r w:rsidR="00ED16CB" w:rsidRPr="00DE79CB">
        <w:rPr>
          <w:rFonts w:ascii="Verdana" w:hAnsi="Verdana"/>
          <w:sz w:val="18"/>
          <w:szCs w:val="18"/>
          <w:lang w:val="en-GB"/>
        </w:rPr>
        <w:t xml:space="preserve">up to and including </w:t>
      </w:r>
      <w:r w:rsidRPr="00DE79CB">
        <w:rPr>
          <w:rFonts w:ascii="Verdana" w:hAnsi="Verdana"/>
          <w:sz w:val="18"/>
          <w:szCs w:val="18"/>
          <w:lang w:val="en-GB"/>
        </w:rPr>
        <w:t>December 31, 2030.</w:t>
      </w:r>
    </w:p>
    <w:p w14:paraId="301DE917" w14:textId="77777777" w:rsidR="009E39BA" w:rsidRPr="00DE79CB" w:rsidRDefault="009E39BA" w:rsidP="00655670">
      <w:pPr>
        <w:spacing w:after="0" w:line="240" w:lineRule="auto"/>
        <w:rPr>
          <w:rFonts w:ascii="Verdana" w:eastAsia="Verdana" w:hAnsi="Verdana" w:cs="Verdana"/>
          <w:b/>
          <w:bCs/>
          <w:sz w:val="18"/>
          <w:szCs w:val="18"/>
          <w:lang w:val="en-US"/>
        </w:rPr>
      </w:pPr>
      <w:bookmarkStart w:id="4" w:name="d17e79"/>
      <w:bookmarkEnd w:id="4"/>
    </w:p>
    <w:p w14:paraId="21326574" w14:textId="640AB68A" w:rsidR="009647A0" w:rsidRPr="00DE79CB" w:rsidRDefault="0054638D" w:rsidP="00655670">
      <w:pPr>
        <w:spacing w:after="0" w:line="240" w:lineRule="auto"/>
        <w:rPr>
          <w:rFonts w:ascii="Verdana" w:eastAsia="Verdana" w:hAnsi="Verdana" w:cs="Verdana"/>
          <w:b/>
          <w:bCs/>
          <w:sz w:val="18"/>
          <w:szCs w:val="18"/>
        </w:rPr>
      </w:pPr>
      <w:r w:rsidRPr="00DE79CB">
        <w:rPr>
          <w:rFonts w:ascii="Verdana" w:eastAsia="Verdana" w:hAnsi="Verdana" w:cs="Verdana"/>
          <w:b/>
          <w:bCs/>
          <w:sz w:val="18"/>
          <w:szCs w:val="18"/>
          <w:lang w:val="en-GB"/>
        </w:rPr>
        <w:t>Article 2</w:t>
      </w:r>
    </w:p>
    <w:p w14:paraId="01A5753A" w14:textId="77777777" w:rsidR="00507095" w:rsidRPr="00DE79CB" w:rsidRDefault="00507095" w:rsidP="00655670">
      <w:pPr>
        <w:spacing w:after="0" w:line="240" w:lineRule="auto"/>
        <w:rPr>
          <w:rFonts w:ascii="Verdana" w:eastAsia="Verdana" w:hAnsi="Verdana" w:cs="Verdana"/>
          <w:b/>
          <w:bCs/>
          <w:sz w:val="18"/>
          <w:szCs w:val="18"/>
        </w:rPr>
      </w:pPr>
    </w:p>
    <w:p w14:paraId="0DC1A6E3" w14:textId="77641052" w:rsidR="0054638D" w:rsidRPr="00DE79CB" w:rsidRDefault="0054638D" w:rsidP="00655670">
      <w:pPr>
        <w:pStyle w:val="Lijstalinea"/>
        <w:numPr>
          <w:ilvl w:val="0"/>
          <w:numId w:val="1"/>
        </w:numPr>
        <w:spacing w:after="0" w:line="240" w:lineRule="auto"/>
        <w:rPr>
          <w:rFonts w:ascii="Verdana" w:hAnsi="Verdana"/>
          <w:sz w:val="18"/>
          <w:szCs w:val="18"/>
          <w:lang w:val="en-US"/>
        </w:rPr>
      </w:pPr>
      <w:r w:rsidRPr="00DE79CB">
        <w:rPr>
          <w:rFonts w:ascii="Verdana" w:eastAsia="Verdana" w:hAnsi="Verdana" w:cs="Verdana"/>
          <w:sz w:val="18"/>
          <w:szCs w:val="18"/>
          <w:lang w:val="en-GB"/>
        </w:rPr>
        <w:t xml:space="preserve">Applications for grants under the Fair Focus on Trade </w:t>
      </w:r>
      <w:r w:rsidR="00ED16CB" w:rsidRPr="00DE79CB">
        <w:rPr>
          <w:rFonts w:ascii="Verdana" w:eastAsia="Verdana" w:hAnsi="Verdana" w:cs="Verdana"/>
          <w:sz w:val="18"/>
          <w:szCs w:val="18"/>
          <w:lang w:val="en-GB"/>
        </w:rPr>
        <w:t xml:space="preserve">Grant Programme </w:t>
      </w:r>
      <w:r w:rsidRPr="00DE79CB">
        <w:rPr>
          <w:rFonts w:ascii="Verdana" w:eastAsia="Verdana" w:hAnsi="Verdana" w:cs="Verdana"/>
          <w:sz w:val="18"/>
          <w:szCs w:val="18"/>
          <w:lang w:val="en-GB"/>
        </w:rPr>
        <w:t>must be submitted between</w:t>
      </w:r>
      <w:r w:rsidR="00402BC1" w:rsidRPr="00DE79CB">
        <w:rPr>
          <w:rFonts w:ascii="Verdana" w:eastAsia="Verdana" w:hAnsi="Verdana" w:cs="Verdana"/>
          <w:sz w:val="18"/>
          <w:szCs w:val="18"/>
          <w:lang w:val="en-GB"/>
        </w:rPr>
        <w:t xml:space="preserve"> </w:t>
      </w:r>
      <w:r w:rsidR="002E1907" w:rsidRPr="00DE79CB">
        <w:rPr>
          <w:rFonts w:ascii="Verdana" w:eastAsia="Verdana" w:hAnsi="Verdana" w:cs="Verdana"/>
          <w:sz w:val="18"/>
          <w:szCs w:val="18"/>
          <w:lang w:val="en-GB"/>
        </w:rPr>
        <w:t>June 30</w:t>
      </w:r>
      <w:r w:rsidRPr="00DE79CB">
        <w:rPr>
          <w:rFonts w:ascii="Verdana" w:eastAsia="Verdana" w:hAnsi="Verdana" w:cs="Verdana"/>
          <w:sz w:val="18"/>
          <w:szCs w:val="18"/>
          <w:lang w:val="en-GB"/>
        </w:rPr>
        <w:t>, 2026, at 12:00 CEST and</w:t>
      </w:r>
      <w:r w:rsidR="00402BC1" w:rsidRPr="00DE79CB">
        <w:rPr>
          <w:rFonts w:ascii="Verdana" w:eastAsia="Verdana" w:hAnsi="Verdana" w:cs="Verdana"/>
          <w:sz w:val="18"/>
          <w:szCs w:val="18"/>
          <w:lang w:val="en-GB"/>
        </w:rPr>
        <w:t xml:space="preserve"> </w:t>
      </w:r>
      <w:r w:rsidR="002E1907" w:rsidRPr="00DE79CB">
        <w:rPr>
          <w:rFonts w:ascii="Verdana" w:eastAsia="Verdana" w:hAnsi="Verdana" w:cs="Verdana"/>
          <w:sz w:val="18"/>
          <w:szCs w:val="18"/>
          <w:lang w:val="en-GB"/>
        </w:rPr>
        <w:t>August 11</w:t>
      </w:r>
      <w:r w:rsidRPr="00DE79CB">
        <w:rPr>
          <w:rFonts w:ascii="Verdana" w:eastAsia="Verdana" w:hAnsi="Verdana" w:cs="Verdana"/>
          <w:sz w:val="18"/>
          <w:szCs w:val="18"/>
          <w:lang w:val="en-GB"/>
        </w:rPr>
        <w:t>, 2026 at 12:00 CEST,</w:t>
      </w:r>
    </w:p>
    <w:p w14:paraId="1F214976" w14:textId="30819C42" w:rsidR="0054638D" w:rsidRPr="00DE79CB" w:rsidRDefault="00ED16CB" w:rsidP="00655670">
      <w:pPr>
        <w:pStyle w:val="Lijstalinea"/>
        <w:numPr>
          <w:ilvl w:val="0"/>
          <w:numId w:val="1"/>
        </w:numPr>
        <w:spacing w:after="0" w:line="240" w:lineRule="auto"/>
        <w:rPr>
          <w:rFonts w:ascii="Verdana" w:hAnsi="Verdana"/>
          <w:sz w:val="18"/>
          <w:szCs w:val="18"/>
          <w:lang w:val="en-US"/>
        </w:rPr>
      </w:pPr>
      <w:r w:rsidRPr="00DE79CB">
        <w:rPr>
          <w:rFonts w:ascii="Verdana" w:eastAsia="Verdana" w:hAnsi="Verdana" w:cs="Verdana"/>
          <w:sz w:val="18"/>
          <w:szCs w:val="18"/>
          <w:lang w:val="en-GB"/>
        </w:rPr>
        <w:t xml:space="preserve">Applications for grants under the Fair Focus on Trade Grant Programme must be submitted </w:t>
      </w:r>
      <w:r w:rsidR="0054638D" w:rsidRPr="00DE79CB">
        <w:rPr>
          <w:rFonts w:ascii="Verdana" w:eastAsia="Verdana" w:hAnsi="Verdana" w:cs="Verdana"/>
          <w:sz w:val="18"/>
          <w:szCs w:val="18"/>
          <w:lang w:val="en-GB"/>
        </w:rPr>
        <w:t>using the model application form</w:t>
      </w:r>
      <w:r w:rsidR="0054638D" w:rsidRPr="00DE79CB">
        <w:rPr>
          <w:rStyle w:val="Voetnootmarkering"/>
          <w:rFonts w:ascii="Verdana" w:eastAsia="Verdana" w:hAnsi="Verdana" w:cs="Verdana"/>
          <w:sz w:val="18"/>
          <w:szCs w:val="18"/>
          <w:lang w:val="en-GB"/>
        </w:rPr>
        <w:footnoteReference w:id="2"/>
      </w:r>
      <w:r w:rsidR="0054638D" w:rsidRPr="00DE79CB">
        <w:rPr>
          <w:rFonts w:ascii="Verdana" w:eastAsia="Verdana" w:hAnsi="Verdana" w:cs="Verdana"/>
          <w:sz w:val="18"/>
          <w:szCs w:val="18"/>
          <w:lang w:val="en-GB"/>
        </w:rPr>
        <w:t xml:space="preserve"> as stipulated by the Minister and accompanied by the documents stipulated in that form. </w:t>
      </w:r>
    </w:p>
    <w:p w14:paraId="4231A80F" w14:textId="77777777" w:rsidR="00D43595" w:rsidRPr="00DE79CB" w:rsidRDefault="00D43595" w:rsidP="00655670">
      <w:pPr>
        <w:spacing w:after="0" w:line="240" w:lineRule="auto"/>
        <w:rPr>
          <w:rFonts w:ascii="Verdana" w:eastAsia="Verdana" w:hAnsi="Verdana" w:cs="Verdana"/>
          <w:b/>
          <w:bCs/>
          <w:sz w:val="18"/>
          <w:szCs w:val="18"/>
          <w:lang w:val="en-US"/>
        </w:rPr>
      </w:pPr>
    </w:p>
    <w:p w14:paraId="2CD8971B" w14:textId="721C4937" w:rsidR="0054638D" w:rsidRPr="00DE79CB" w:rsidRDefault="0054638D" w:rsidP="00655670">
      <w:pPr>
        <w:spacing w:after="0" w:line="240" w:lineRule="auto"/>
        <w:rPr>
          <w:rFonts w:ascii="Verdana" w:eastAsia="Verdana" w:hAnsi="Verdana" w:cs="Verdana"/>
          <w:b/>
          <w:bCs/>
          <w:sz w:val="18"/>
          <w:szCs w:val="18"/>
        </w:rPr>
      </w:pPr>
      <w:r w:rsidRPr="00DE79CB">
        <w:rPr>
          <w:rFonts w:ascii="Verdana" w:eastAsia="Verdana" w:hAnsi="Verdana" w:cs="Verdana"/>
          <w:b/>
          <w:bCs/>
          <w:sz w:val="18"/>
          <w:szCs w:val="18"/>
          <w:lang w:val="en-GB"/>
        </w:rPr>
        <w:t>Article 3</w:t>
      </w:r>
    </w:p>
    <w:p w14:paraId="2782A33B" w14:textId="77777777" w:rsidR="00D43595" w:rsidRPr="00DE79CB" w:rsidRDefault="00D43595" w:rsidP="00655670">
      <w:pPr>
        <w:spacing w:after="0" w:line="240" w:lineRule="auto"/>
        <w:rPr>
          <w:rFonts w:ascii="Verdana" w:eastAsia="Verdana" w:hAnsi="Verdana" w:cs="Verdana"/>
          <w:sz w:val="18"/>
          <w:szCs w:val="18"/>
        </w:rPr>
      </w:pPr>
    </w:p>
    <w:p w14:paraId="3A07BBC1" w14:textId="69308ED6" w:rsidR="00723830" w:rsidRPr="00DE79CB" w:rsidRDefault="006857CB" w:rsidP="00655670">
      <w:pPr>
        <w:pStyle w:val="Lijstalinea"/>
        <w:numPr>
          <w:ilvl w:val="0"/>
          <w:numId w:val="35"/>
        </w:num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A ceiling of €83 million applies for the period referred to in Article 1.</w:t>
      </w:r>
    </w:p>
    <w:p w14:paraId="67CDC659" w14:textId="724772B0" w:rsidR="009E39BA" w:rsidRPr="00DE79CB" w:rsidRDefault="00BC15D1" w:rsidP="00655670">
      <w:pPr>
        <w:pStyle w:val="Lijstalinea"/>
        <w:numPr>
          <w:ilvl w:val="0"/>
          <w:numId w:val="35"/>
        </w:numPr>
        <w:spacing w:after="0" w:line="240" w:lineRule="auto"/>
        <w:rPr>
          <w:rFonts w:ascii="Verdana" w:eastAsia="Verdana" w:hAnsi="Verdana" w:cs="Verdana"/>
          <w:sz w:val="18"/>
          <w:szCs w:val="18"/>
          <w:lang w:val="en-US"/>
        </w:rPr>
      </w:pPr>
      <w:r w:rsidRPr="00DE79CB">
        <w:rPr>
          <w:rFonts w:ascii="Verdana" w:hAnsi="Verdana" w:cs="Arial"/>
          <w:sz w:val="18"/>
          <w:szCs w:val="18"/>
          <w:lang w:val="en-GB"/>
        </w:rPr>
        <w:t>Multi-year grants may be granted under the condition, referred to in Article 4:34, paragraph 1, of the General Administrative Law Act, that sufficient funds are made available for this purpose in the relevant budgets.</w:t>
      </w:r>
    </w:p>
    <w:p w14:paraId="25250886" w14:textId="77777777" w:rsidR="00723830" w:rsidRPr="00DE79CB" w:rsidRDefault="00723830" w:rsidP="00655670">
      <w:pPr>
        <w:spacing w:after="0" w:line="240" w:lineRule="auto"/>
        <w:rPr>
          <w:rFonts w:ascii="Verdana" w:eastAsia="Verdana" w:hAnsi="Verdana" w:cs="Verdana"/>
          <w:b/>
          <w:bCs/>
          <w:sz w:val="18"/>
          <w:szCs w:val="18"/>
          <w:lang w:val="en-US"/>
        </w:rPr>
      </w:pPr>
    </w:p>
    <w:p w14:paraId="3ACC395B" w14:textId="64C2EDAE" w:rsidR="0054638D" w:rsidRPr="00DE79CB" w:rsidRDefault="0054638D" w:rsidP="00655670">
      <w:pPr>
        <w:spacing w:after="0" w:line="240" w:lineRule="auto"/>
        <w:rPr>
          <w:rFonts w:ascii="Verdana" w:eastAsia="Verdana" w:hAnsi="Verdana" w:cs="Verdana"/>
          <w:b/>
          <w:bCs/>
          <w:sz w:val="18"/>
          <w:szCs w:val="18"/>
          <w:lang w:val="en-US"/>
        </w:rPr>
      </w:pPr>
      <w:r w:rsidRPr="00DE79CB">
        <w:rPr>
          <w:rFonts w:ascii="Verdana" w:eastAsia="Verdana" w:hAnsi="Verdana" w:cs="Verdana"/>
          <w:b/>
          <w:bCs/>
          <w:sz w:val="18"/>
          <w:szCs w:val="18"/>
          <w:lang w:val="en-GB"/>
        </w:rPr>
        <w:t>Article 4</w:t>
      </w:r>
    </w:p>
    <w:p w14:paraId="0590DD20" w14:textId="77777777" w:rsidR="00402BC1" w:rsidRPr="00DE79CB" w:rsidRDefault="00ED16CB" w:rsidP="00402BC1">
      <w:pPr>
        <w:pStyle w:val="Lijstalinea"/>
        <w:spacing w:after="0" w:line="240" w:lineRule="auto"/>
        <w:ind w:left="360"/>
        <w:rPr>
          <w:rFonts w:ascii="Verdana" w:eastAsia="Verdana" w:hAnsi="Verdana" w:cs="Verdana"/>
          <w:sz w:val="18"/>
          <w:szCs w:val="18"/>
          <w:lang w:val="en-GB"/>
        </w:rPr>
      </w:pPr>
      <w:r w:rsidRPr="00DE79CB">
        <w:rPr>
          <w:rFonts w:ascii="Verdana" w:eastAsia="Verdana" w:hAnsi="Verdana" w:cs="Verdana"/>
          <w:sz w:val="18"/>
          <w:szCs w:val="18"/>
          <w:lang w:val="en-GB"/>
        </w:rPr>
        <w:t xml:space="preserve">1. </w:t>
      </w:r>
      <w:r w:rsidR="00D43595" w:rsidRPr="00DE79CB">
        <w:rPr>
          <w:rFonts w:ascii="Verdana" w:eastAsia="Verdana" w:hAnsi="Verdana" w:cs="Verdana"/>
          <w:sz w:val="18"/>
          <w:szCs w:val="18"/>
          <w:lang w:val="en-GB"/>
        </w:rPr>
        <w:t>The funds referred to in Article 3</w:t>
      </w:r>
      <w:r w:rsidR="002E1907" w:rsidRPr="00DE79CB">
        <w:rPr>
          <w:rFonts w:ascii="Verdana" w:eastAsia="Verdana" w:hAnsi="Verdana" w:cs="Verdana"/>
          <w:sz w:val="18"/>
          <w:szCs w:val="18"/>
          <w:lang w:val="en-GB"/>
        </w:rPr>
        <w:t>, paragraph 1,</w:t>
      </w:r>
      <w:r w:rsidR="00D43595" w:rsidRPr="00DE79CB">
        <w:rPr>
          <w:rFonts w:ascii="Verdana" w:eastAsia="Verdana" w:hAnsi="Verdana" w:cs="Verdana"/>
          <w:sz w:val="18"/>
          <w:szCs w:val="18"/>
          <w:lang w:val="en-GB"/>
        </w:rPr>
        <w:t xml:space="preserve"> shall be allocated following an </w:t>
      </w:r>
      <w:r w:rsidR="7896F2E6" w:rsidRPr="00DE79CB">
        <w:rPr>
          <w:rFonts w:ascii="Verdana" w:eastAsia="Verdana" w:hAnsi="Verdana" w:cs="Verdana"/>
          <w:sz w:val="18"/>
          <w:szCs w:val="18"/>
          <w:lang w:val="en-GB"/>
        </w:rPr>
        <w:t>assessment in accordance with the criteria set out in the annex to this Order, on the understanding that, out of all applications that satisfy the criteria, the applications that best meet them shall be considered first for grant support</w:t>
      </w:r>
      <w:r w:rsidRPr="00DE79CB">
        <w:rPr>
          <w:rFonts w:ascii="Verdana" w:eastAsia="Verdana" w:hAnsi="Verdana" w:cs="Verdana"/>
          <w:sz w:val="18"/>
          <w:szCs w:val="18"/>
          <w:lang w:val="en-GB"/>
        </w:rPr>
        <w:t>,</w:t>
      </w:r>
      <w:r w:rsidR="7896F2E6" w:rsidRPr="00DE79CB">
        <w:rPr>
          <w:rFonts w:ascii="Verdana" w:eastAsia="Verdana" w:hAnsi="Verdana" w:cs="Verdana"/>
          <w:sz w:val="18"/>
          <w:szCs w:val="18"/>
          <w:lang w:val="en-GB"/>
        </w:rPr>
        <w:t xml:space="preserve"> with a view to achieving a balanced distribution of the available funds, as referred to in Article 8, paragraph 3(d) of the Ministry of Foreign Affairs Grant Decree.</w:t>
      </w:r>
    </w:p>
    <w:p w14:paraId="2A11FA46" w14:textId="626E8961" w:rsidR="00D23246" w:rsidRPr="00DE79CB" w:rsidRDefault="00ED16CB" w:rsidP="00402BC1">
      <w:pPr>
        <w:pStyle w:val="Lijstalinea"/>
        <w:spacing w:after="0" w:line="240" w:lineRule="auto"/>
        <w:ind w:left="360"/>
        <w:rPr>
          <w:rFonts w:ascii="Verdana" w:eastAsia="Verdana" w:hAnsi="Verdana" w:cs="Verdana"/>
          <w:sz w:val="18"/>
          <w:szCs w:val="18"/>
          <w:lang w:val="en-GB"/>
        </w:rPr>
      </w:pPr>
      <w:r w:rsidRPr="00DE79CB">
        <w:rPr>
          <w:rFonts w:ascii="Verdana" w:eastAsia="Verdana" w:hAnsi="Verdana" w:cs="Verdana"/>
          <w:sz w:val="18"/>
          <w:szCs w:val="18"/>
          <w:lang w:val="en-GB"/>
        </w:rPr>
        <w:t xml:space="preserve">2. </w:t>
      </w:r>
      <w:r w:rsidR="00946BC5" w:rsidRPr="00DE79CB">
        <w:rPr>
          <w:rFonts w:ascii="Verdana" w:eastAsia="Verdana" w:hAnsi="Verdana" w:cs="Verdana"/>
          <w:sz w:val="18"/>
          <w:szCs w:val="18"/>
          <w:lang w:val="en-GB"/>
        </w:rPr>
        <w:t xml:space="preserve">For reasons of efficiency and balanced distribution of available funds, no more than one grant application will be considered per primary value chain for each target country in appendix 1 to the annex to this Order. </w:t>
      </w:r>
    </w:p>
    <w:p w14:paraId="7884B201" w14:textId="77777777" w:rsidR="00C56A5E" w:rsidRPr="00DE79CB" w:rsidRDefault="00C56A5E" w:rsidP="00655670">
      <w:pPr>
        <w:pStyle w:val="Lijstalinea"/>
        <w:spacing w:after="0" w:line="240" w:lineRule="auto"/>
        <w:ind w:left="360"/>
        <w:rPr>
          <w:rFonts w:ascii="Verdana" w:eastAsia="Verdana" w:hAnsi="Verdana" w:cs="Verdana"/>
          <w:sz w:val="18"/>
          <w:szCs w:val="18"/>
          <w:lang w:val="en-US"/>
        </w:rPr>
      </w:pPr>
    </w:p>
    <w:p w14:paraId="7FF69476" w14:textId="3F230CEA" w:rsidR="0054638D" w:rsidRPr="00DE79CB" w:rsidRDefault="0054638D" w:rsidP="00655670">
      <w:pPr>
        <w:spacing w:after="0" w:line="240" w:lineRule="auto"/>
        <w:rPr>
          <w:rFonts w:ascii="Verdana" w:eastAsia="Verdana" w:hAnsi="Verdana" w:cs="Verdana"/>
          <w:b/>
          <w:bCs/>
          <w:sz w:val="18"/>
          <w:szCs w:val="18"/>
          <w:lang w:val="en-US"/>
        </w:rPr>
      </w:pPr>
      <w:r w:rsidRPr="00DE79CB">
        <w:rPr>
          <w:rFonts w:ascii="Verdana" w:eastAsia="Verdana" w:hAnsi="Verdana" w:cs="Verdana"/>
          <w:b/>
          <w:bCs/>
          <w:sz w:val="18"/>
          <w:szCs w:val="18"/>
          <w:lang w:val="en-GB"/>
        </w:rPr>
        <w:t>Article 5</w:t>
      </w:r>
    </w:p>
    <w:p w14:paraId="709A39F2" w14:textId="77777777" w:rsidR="00507095" w:rsidRPr="00DE79CB" w:rsidRDefault="00507095" w:rsidP="00655670">
      <w:pPr>
        <w:spacing w:after="0" w:line="240" w:lineRule="auto"/>
        <w:rPr>
          <w:rFonts w:ascii="Verdana" w:eastAsia="Verdana" w:hAnsi="Verdana" w:cs="Verdana"/>
          <w:b/>
          <w:bCs/>
          <w:sz w:val="18"/>
          <w:szCs w:val="18"/>
          <w:lang w:val="en-US"/>
        </w:rPr>
      </w:pPr>
    </w:p>
    <w:p w14:paraId="31AA8055" w14:textId="78863166" w:rsidR="0054638D" w:rsidRPr="00DE79CB" w:rsidRDefault="0054638D"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 xml:space="preserve">This Order enters into force on the day after the publication date of the Government Gazette in which it appears and lapses with effect from January 1, 2031, with the </w:t>
      </w:r>
      <w:r w:rsidR="00402BC1" w:rsidRPr="00DE79CB">
        <w:rPr>
          <w:rFonts w:ascii="Verdana" w:eastAsia="Verdana" w:hAnsi="Verdana" w:cs="Verdana"/>
          <w:sz w:val="18"/>
          <w:szCs w:val="18"/>
          <w:lang w:val="en-GB"/>
        </w:rPr>
        <w:t>provision</w:t>
      </w:r>
      <w:r w:rsidRPr="00DE79CB">
        <w:rPr>
          <w:rFonts w:ascii="Verdana" w:eastAsia="Verdana" w:hAnsi="Verdana" w:cs="Verdana"/>
          <w:sz w:val="18"/>
          <w:szCs w:val="18"/>
          <w:lang w:val="en-GB"/>
        </w:rPr>
        <w:t xml:space="preserve"> that it continues to apply to grants awarded prior to that date.</w:t>
      </w:r>
    </w:p>
    <w:p w14:paraId="70C61A3D" w14:textId="77777777" w:rsidR="009E39BA" w:rsidRPr="00DE79CB" w:rsidRDefault="009E39BA" w:rsidP="00655670">
      <w:pPr>
        <w:pStyle w:val="Plattetekst"/>
        <w:ind w:right="5033"/>
        <w:rPr>
          <w:sz w:val="18"/>
          <w:szCs w:val="18"/>
          <w:lang w:val="en-US"/>
        </w:rPr>
      </w:pPr>
    </w:p>
    <w:p w14:paraId="1D9541C6" w14:textId="286C9A9F" w:rsidR="00507095" w:rsidRPr="00DE79CB" w:rsidRDefault="00507095" w:rsidP="00655670">
      <w:pPr>
        <w:tabs>
          <w:tab w:val="left" w:pos="2553"/>
        </w:tabs>
        <w:spacing w:after="0" w:line="240" w:lineRule="auto"/>
        <w:rPr>
          <w:rFonts w:ascii="Verdana" w:eastAsia="Verdana" w:hAnsi="Verdana" w:cs="Verdana"/>
          <w:b/>
          <w:bCs/>
          <w:sz w:val="18"/>
          <w:szCs w:val="18"/>
          <w:lang w:val="en-US"/>
        </w:rPr>
      </w:pPr>
      <w:r w:rsidRPr="00DE79CB">
        <w:rPr>
          <w:rFonts w:ascii="Verdana" w:eastAsia="Verdana" w:hAnsi="Verdana" w:cs="Verdana"/>
          <w:b/>
          <w:bCs/>
          <w:sz w:val="18"/>
          <w:szCs w:val="18"/>
          <w:lang w:val="en-GB"/>
        </w:rPr>
        <w:t>Article 6</w:t>
      </w:r>
    </w:p>
    <w:p w14:paraId="75155FB2" w14:textId="77777777" w:rsidR="00507095" w:rsidRPr="00DE79CB" w:rsidRDefault="00507095" w:rsidP="00655670">
      <w:pPr>
        <w:tabs>
          <w:tab w:val="left" w:pos="2553"/>
        </w:tabs>
        <w:spacing w:after="0" w:line="240" w:lineRule="auto"/>
        <w:rPr>
          <w:rFonts w:ascii="Verdana" w:eastAsia="Verdana" w:hAnsi="Verdana" w:cs="Verdana"/>
          <w:b/>
          <w:bCs/>
          <w:sz w:val="18"/>
          <w:szCs w:val="18"/>
          <w:lang w:val="en-US"/>
        </w:rPr>
      </w:pPr>
    </w:p>
    <w:p w14:paraId="3A24483B" w14:textId="025D5BBF" w:rsidR="00507095" w:rsidRPr="00DE79CB" w:rsidRDefault="00507095" w:rsidP="00655670">
      <w:pPr>
        <w:tabs>
          <w:tab w:val="left" w:pos="2553"/>
        </w:tabs>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This order shall be cited as: Fair Focus on Trade Grant Programme</w:t>
      </w:r>
    </w:p>
    <w:p w14:paraId="3029580A" w14:textId="77777777" w:rsidR="00507095" w:rsidRPr="00DE79CB" w:rsidRDefault="00507095" w:rsidP="00655670">
      <w:pPr>
        <w:tabs>
          <w:tab w:val="left" w:pos="2553"/>
        </w:tabs>
        <w:spacing w:after="0" w:line="240" w:lineRule="auto"/>
        <w:rPr>
          <w:rFonts w:ascii="Verdana" w:eastAsia="Verdana" w:hAnsi="Verdana" w:cs="Verdana"/>
          <w:sz w:val="18"/>
          <w:szCs w:val="18"/>
          <w:lang w:val="en-US"/>
        </w:rPr>
      </w:pPr>
    </w:p>
    <w:p w14:paraId="0E7C370C" w14:textId="79F01591" w:rsidR="00561955" w:rsidRPr="00DE79CB" w:rsidRDefault="00561955" w:rsidP="00655670">
      <w:pPr>
        <w:tabs>
          <w:tab w:val="left" w:pos="2553"/>
        </w:tabs>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 xml:space="preserve">This Order and its accompanying annexe, including the appendices, will be published in the Government Gazette. </w:t>
      </w:r>
    </w:p>
    <w:p w14:paraId="51702C6B" w14:textId="77777777" w:rsidR="00561955" w:rsidRPr="00DE79CB" w:rsidRDefault="00561955" w:rsidP="00655670">
      <w:pPr>
        <w:pStyle w:val="Plattetekst"/>
        <w:ind w:right="5033"/>
        <w:rPr>
          <w:sz w:val="18"/>
          <w:szCs w:val="18"/>
          <w:lang w:val="en-US"/>
        </w:rPr>
      </w:pPr>
    </w:p>
    <w:p w14:paraId="78950819" w14:textId="0C4CC4F0" w:rsidR="00D43595" w:rsidRPr="00DE79CB" w:rsidRDefault="00D43595"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 xml:space="preserve">The </w:t>
      </w:r>
      <w:r w:rsidR="002E1907" w:rsidRPr="00DE79CB">
        <w:rPr>
          <w:rFonts w:ascii="Verdana" w:eastAsia="Verdana" w:hAnsi="Verdana" w:cs="Verdana"/>
          <w:sz w:val="18"/>
          <w:szCs w:val="18"/>
          <w:lang w:val="en-GB"/>
        </w:rPr>
        <w:t xml:space="preserve">Minister </w:t>
      </w:r>
      <w:r w:rsidRPr="00DE79CB">
        <w:rPr>
          <w:rFonts w:ascii="Verdana" w:eastAsia="Verdana" w:hAnsi="Verdana" w:cs="Verdana"/>
          <w:sz w:val="18"/>
          <w:szCs w:val="18"/>
          <w:lang w:val="en-GB"/>
        </w:rPr>
        <w:t>of Foreign</w:t>
      </w:r>
      <w:r w:rsidR="00402BC1" w:rsidRPr="00DE79CB">
        <w:rPr>
          <w:rFonts w:ascii="Verdana" w:eastAsia="Verdana" w:hAnsi="Verdana" w:cs="Verdana"/>
          <w:sz w:val="18"/>
          <w:szCs w:val="18"/>
          <w:lang w:val="en-GB"/>
        </w:rPr>
        <w:t xml:space="preserve"> </w:t>
      </w:r>
      <w:r w:rsidR="002E1907" w:rsidRPr="00DE79CB">
        <w:rPr>
          <w:rFonts w:ascii="Verdana" w:eastAsia="Verdana" w:hAnsi="Verdana" w:cs="Verdana"/>
          <w:sz w:val="18"/>
          <w:szCs w:val="18"/>
          <w:lang w:val="en-GB"/>
        </w:rPr>
        <w:t>Trade and Development Cooperation</w:t>
      </w:r>
      <w:r w:rsidRPr="00DE79CB">
        <w:rPr>
          <w:rFonts w:ascii="Verdana" w:eastAsia="Verdana" w:hAnsi="Verdana" w:cs="Verdana"/>
          <w:sz w:val="18"/>
          <w:szCs w:val="18"/>
          <w:lang w:val="en-GB"/>
        </w:rPr>
        <w:t>,</w:t>
      </w:r>
    </w:p>
    <w:p w14:paraId="303C05E7" w14:textId="3175C72A" w:rsidR="00086605" w:rsidRPr="00DE79CB" w:rsidRDefault="00086605" w:rsidP="00655670">
      <w:pPr>
        <w:spacing w:after="0" w:line="240" w:lineRule="auto"/>
        <w:rPr>
          <w:rFonts w:ascii="Verdana" w:eastAsia="Verdana" w:hAnsi="Verdana" w:cs="Verdana"/>
          <w:i/>
          <w:sz w:val="18"/>
          <w:szCs w:val="18"/>
          <w:lang w:val="en-US"/>
        </w:rPr>
      </w:pPr>
      <w:r w:rsidRPr="00DE79CB">
        <w:rPr>
          <w:rFonts w:ascii="Verdana" w:eastAsia="Verdana" w:hAnsi="Verdana" w:cs="Verdana"/>
          <w:sz w:val="18"/>
          <w:szCs w:val="18"/>
          <w:lang w:val="en-GB"/>
        </w:rPr>
        <w:t xml:space="preserve">on </w:t>
      </w:r>
      <w:r w:rsidR="00ED16CB" w:rsidRPr="00DE79CB">
        <w:rPr>
          <w:rFonts w:ascii="Verdana" w:eastAsia="Verdana" w:hAnsi="Verdana" w:cs="Verdana"/>
          <w:sz w:val="18"/>
          <w:szCs w:val="18"/>
          <w:lang w:val="en-GB"/>
        </w:rPr>
        <w:t>his</w:t>
      </w:r>
      <w:r w:rsidRPr="00DE79CB">
        <w:rPr>
          <w:rFonts w:ascii="Verdana" w:eastAsia="Verdana" w:hAnsi="Verdana" w:cs="Verdana"/>
          <w:sz w:val="18"/>
          <w:szCs w:val="18"/>
          <w:lang w:val="en-GB"/>
        </w:rPr>
        <w:t xml:space="preserve"> behalf,</w:t>
      </w:r>
    </w:p>
    <w:p w14:paraId="4ED7E71C" w14:textId="77777777" w:rsidR="001936F8" w:rsidRPr="00DE79CB" w:rsidRDefault="001936F8" w:rsidP="00655670">
      <w:pPr>
        <w:spacing w:after="0" w:line="240" w:lineRule="auto"/>
        <w:rPr>
          <w:rFonts w:ascii="Verdana" w:eastAsia="Verdana" w:hAnsi="Verdana" w:cs="Verdana"/>
          <w:sz w:val="18"/>
          <w:szCs w:val="18"/>
          <w:lang w:val="en-US"/>
        </w:rPr>
      </w:pPr>
    </w:p>
    <w:p w14:paraId="09BB39A0" w14:textId="0FFF43C7" w:rsidR="00086605" w:rsidRPr="00DE79CB" w:rsidRDefault="00086605" w:rsidP="00655670">
      <w:pPr>
        <w:spacing w:after="0" w:line="240" w:lineRule="auto"/>
        <w:rPr>
          <w:rFonts w:ascii="Verdana" w:eastAsia="Verdana" w:hAnsi="Verdana" w:cs="Verdana"/>
          <w:i/>
          <w:sz w:val="18"/>
          <w:szCs w:val="18"/>
          <w:lang w:val="en-US"/>
        </w:rPr>
      </w:pPr>
      <w:r w:rsidRPr="00DE79CB">
        <w:rPr>
          <w:rFonts w:ascii="Verdana" w:eastAsia="Verdana" w:hAnsi="Verdana" w:cs="Verdana"/>
          <w:sz w:val="18"/>
          <w:szCs w:val="18"/>
          <w:lang w:val="en-GB"/>
        </w:rPr>
        <w:t>the Director-General for International Cooperation,</w:t>
      </w:r>
    </w:p>
    <w:p w14:paraId="6E9E6645" w14:textId="77777777" w:rsidR="00086605" w:rsidRPr="00DE79CB" w:rsidRDefault="00086605" w:rsidP="00655670">
      <w:pPr>
        <w:spacing w:after="0" w:line="240" w:lineRule="auto"/>
        <w:rPr>
          <w:rFonts w:ascii="Verdana" w:eastAsia="Verdana" w:hAnsi="Verdana" w:cs="Verdana"/>
          <w:i/>
          <w:iCs/>
          <w:sz w:val="18"/>
          <w:szCs w:val="18"/>
          <w:lang w:val="en-US"/>
        </w:rPr>
      </w:pPr>
    </w:p>
    <w:p w14:paraId="4DC65948" w14:textId="77777777" w:rsidR="00086605" w:rsidRPr="00DE79CB" w:rsidRDefault="00086605" w:rsidP="00655670">
      <w:pPr>
        <w:spacing w:after="0" w:line="240" w:lineRule="auto"/>
        <w:rPr>
          <w:rFonts w:ascii="Verdana" w:eastAsia="Verdana" w:hAnsi="Verdana" w:cs="Verdana"/>
          <w:i/>
          <w:iCs/>
          <w:sz w:val="18"/>
          <w:szCs w:val="18"/>
          <w:lang w:val="en-US"/>
        </w:rPr>
      </w:pPr>
    </w:p>
    <w:p w14:paraId="4D5BEE81" w14:textId="59B23B8A" w:rsidR="00086605" w:rsidRPr="00DE79CB" w:rsidRDefault="00086605" w:rsidP="00655670">
      <w:pPr>
        <w:spacing w:after="0" w:line="240" w:lineRule="auto"/>
        <w:rPr>
          <w:rFonts w:ascii="Verdana" w:eastAsia="Verdana" w:hAnsi="Verdana" w:cs="Verdana"/>
          <w:i/>
          <w:sz w:val="18"/>
          <w:szCs w:val="18"/>
          <w:lang w:val="en-US"/>
        </w:rPr>
      </w:pPr>
      <w:r w:rsidRPr="00DE79CB">
        <w:rPr>
          <w:rFonts w:ascii="Verdana" w:eastAsia="Verdana" w:hAnsi="Verdana" w:cs="Verdana"/>
          <w:sz w:val="18"/>
          <w:szCs w:val="18"/>
          <w:lang w:val="en-GB"/>
        </w:rPr>
        <w:t>P.M.M. Grotenhuis</w:t>
      </w:r>
    </w:p>
    <w:p w14:paraId="4DA56A0C" w14:textId="77777777" w:rsidR="00086605" w:rsidRPr="00DE79CB" w:rsidRDefault="00086605" w:rsidP="00655670">
      <w:pPr>
        <w:spacing w:after="0" w:line="240" w:lineRule="auto"/>
        <w:rPr>
          <w:rFonts w:ascii="Verdana" w:eastAsia="Verdana" w:hAnsi="Verdana" w:cs="Verdana"/>
          <w:b/>
          <w:bCs/>
          <w:sz w:val="18"/>
          <w:szCs w:val="18"/>
          <w:lang w:val="en-US"/>
        </w:rPr>
      </w:pPr>
      <w:r w:rsidRPr="00DE79CB">
        <w:rPr>
          <w:rFonts w:ascii="Verdana" w:eastAsia="Verdana" w:hAnsi="Verdana" w:cs="Verdana"/>
          <w:b/>
          <w:bCs/>
          <w:sz w:val="18"/>
          <w:szCs w:val="18"/>
          <w:lang w:val="en-GB"/>
        </w:rPr>
        <w:br w:type="page"/>
      </w:r>
    </w:p>
    <w:p w14:paraId="7F75B2EB" w14:textId="25326740" w:rsidR="0054638D" w:rsidRPr="00DE79CB" w:rsidRDefault="0054638D" w:rsidP="00655670">
      <w:pPr>
        <w:pStyle w:val="Lijstalinea"/>
        <w:numPr>
          <w:ilvl w:val="0"/>
          <w:numId w:val="3"/>
        </w:numPr>
        <w:spacing w:after="0" w:line="240" w:lineRule="auto"/>
        <w:rPr>
          <w:rFonts w:ascii="Verdana" w:hAnsi="Verdana"/>
          <w:b/>
          <w:bCs/>
          <w:sz w:val="18"/>
          <w:szCs w:val="18"/>
        </w:rPr>
      </w:pPr>
      <w:r w:rsidRPr="00DE79CB">
        <w:rPr>
          <w:rFonts w:ascii="Verdana" w:eastAsia="Verdana" w:hAnsi="Verdana" w:cs="Verdana"/>
          <w:b/>
          <w:bCs/>
          <w:sz w:val="18"/>
          <w:szCs w:val="18"/>
          <w:lang w:val="en-GB"/>
        </w:rPr>
        <w:lastRenderedPageBreak/>
        <w:t xml:space="preserve">Background </w:t>
      </w:r>
    </w:p>
    <w:p w14:paraId="320BF481" w14:textId="77777777" w:rsidR="0049192E" w:rsidRPr="00DE79CB" w:rsidRDefault="0049192E" w:rsidP="00655670">
      <w:pPr>
        <w:spacing w:after="0" w:line="240" w:lineRule="auto"/>
        <w:rPr>
          <w:rFonts w:ascii="Verdana" w:eastAsia="Verdana" w:hAnsi="Verdana" w:cs="Verdana"/>
          <w:b/>
          <w:bCs/>
          <w:sz w:val="18"/>
          <w:szCs w:val="18"/>
        </w:rPr>
      </w:pPr>
    </w:p>
    <w:p w14:paraId="0CBF5D93" w14:textId="7C6DA99E" w:rsidR="00F562E5" w:rsidRPr="00DE79CB" w:rsidRDefault="00F562E5" w:rsidP="00790411">
      <w:pPr>
        <w:pStyle w:val="Plattetekst"/>
        <w:ind w:right="162"/>
        <w:rPr>
          <w:sz w:val="18"/>
          <w:szCs w:val="18"/>
          <w:lang w:val="en-US"/>
        </w:rPr>
      </w:pPr>
      <w:r w:rsidRPr="00DE79CB">
        <w:rPr>
          <w:sz w:val="18"/>
          <w:szCs w:val="18"/>
          <w:lang w:val="en-GB"/>
        </w:rPr>
        <w:t>Focus is the government's policy framework for cooperation with civil society organisations in development cooperation for the period 2026 to 2030.</w:t>
      </w:r>
      <w:r w:rsidRPr="00DE79CB">
        <w:rPr>
          <w:rStyle w:val="Voetnootmarkering"/>
          <w:sz w:val="18"/>
          <w:szCs w:val="18"/>
          <w:lang w:val="en-GB"/>
        </w:rPr>
        <w:footnoteReference w:id="3"/>
      </w:r>
      <w:r w:rsidR="00B672C3" w:rsidRPr="00DE79CB">
        <w:rPr>
          <w:sz w:val="18"/>
          <w:szCs w:val="18"/>
          <w:lang w:val="en-GB"/>
        </w:rPr>
        <w:t xml:space="preserve"> </w:t>
      </w:r>
      <w:r w:rsidRPr="00DE79CB">
        <w:rPr>
          <w:sz w:val="18"/>
          <w:szCs w:val="18"/>
          <w:lang w:val="en-GB"/>
        </w:rPr>
        <w:t xml:space="preserve">It serves to provide technical and financial support primarily to local civil society organisations, enabling them to deliver services and engage in dialogue in support of eight thematic policy objectives. </w:t>
      </w:r>
    </w:p>
    <w:p w14:paraId="4ECD85F7" w14:textId="77777777" w:rsidR="00D63994" w:rsidRPr="00DE79CB" w:rsidRDefault="00D63994" w:rsidP="00655670">
      <w:pPr>
        <w:pStyle w:val="Plattetekst"/>
        <w:ind w:right="162"/>
        <w:rPr>
          <w:sz w:val="18"/>
          <w:szCs w:val="18"/>
          <w:lang w:val="en-US"/>
        </w:rPr>
      </w:pPr>
    </w:p>
    <w:p w14:paraId="3BFAC1EA" w14:textId="4C158E32" w:rsidR="00D63994" w:rsidRPr="00DE79CB" w:rsidRDefault="00D63994" w:rsidP="00655670">
      <w:pPr>
        <w:pStyle w:val="Plattetekst"/>
        <w:ind w:right="162"/>
        <w:rPr>
          <w:sz w:val="18"/>
          <w:szCs w:val="18"/>
          <w:lang w:val="en-US"/>
        </w:rPr>
      </w:pPr>
      <w:r w:rsidRPr="00DE79CB">
        <w:rPr>
          <w:sz w:val="18"/>
          <w:szCs w:val="18"/>
          <w:lang w:val="en-GB"/>
        </w:rPr>
        <w:t xml:space="preserve">The government expects that the implementation of Focus will enable local civil society organisations in particular to effectively and efficiently tailor development assistance to the needs, future perspectives, and livelihood security of local communities. </w:t>
      </w:r>
    </w:p>
    <w:p w14:paraId="6107DA4D" w14:textId="51A2D2C5" w:rsidR="00F05100" w:rsidRPr="00DE79CB" w:rsidRDefault="00F05100" w:rsidP="00655670">
      <w:pPr>
        <w:pStyle w:val="Plattetekst"/>
        <w:ind w:right="162"/>
        <w:rPr>
          <w:sz w:val="18"/>
          <w:szCs w:val="18"/>
          <w:lang w:val="en-US"/>
        </w:rPr>
      </w:pPr>
    </w:p>
    <w:p w14:paraId="25DB17E8" w14:textId="6A8185FC" w:rsidR="00195B4B" w:rsidRPr="00DE79CB" w:rsidRDefault="001332CB" w:rsidP="00655670">
      <w:pPr>
        <w:pStyle w:val="Plattetekst"/>
        <w:ind w:right="162"/>
        <w:rPr>
          <w:rStyle w:val="cf01"/>
          <w:rFonts w:ascii="Verdana" w:hAnsi="Verdana" w:cs="Verdana"/>
          <w:lang w:val="en-GB"/>
        </w:rPr>
      </w:pPr>
      <w:r w:rsidRPr="00DE79CB">
        <w:rPr>
          <w:rStyle w:val="cf01"/>
          <w:rFonts w:ascii="Verdana" w:hAnsi="Verdana" w:cs="Verdana"/>
          <w:lang w:val="en-GB"/>
        </w:rPr>
        <w:t xml:space="preserve">The Fair Focus on Trade Grant Programme (hereinafter: the grant programme) is one of eight instruments under Focus and aims to promote </w:t>
      </w:r>
      <w:r w:rsidR="00487EC6" w:rsidRPr="00DE79CB">
        <w:rPr>
          <w:rStyle w:val="cf01"/>
          <w:rFonts w:ascii="Verdana" w:hAnsi="Verdana" w:cs="Verdana"/>
          <w:lang w:val="en-GB"/>
        </w:rPr>
        <w:t xml:space="preserve">sustainable </w:t>
      </w:r>
      <w:r w:rsidRPr="00DE79CB">
        <w:rPr>
          <w:rStyle w:val="cf01"/>
          <w:rFonts w:ascii="Verdana" w:hAnsi="Verdana" w:cs="Verdana"/>
          <w:lang w:val="en-GB"/>
        </w:rPr>
        <w:t xml:space="preserve">and fair trade by strengthening </w:t>
      </w:r>
      <w:r w:rsidR="00851C6D" w:rsidRPr="00DE79CB">
        <w:rPr>
          <w:rStyle w:val="cf01"/>
          <w:rFonts w:ascii="Verdana" w:hAnsi="Verdana" w:cs="Verdana"/>
          <w:lang w:val="en-GB"/>
        </w:rPr>
        <w:t>(</w:t>
      </w:r>
      <w:r w:rsidRPr="00DE79CB">
        <w:rPr>
          <w:rStyle w:val="cf01"/>
          <w:rFonts w:ascii="Verdana" w:hAnsi="Verdana" w:cs="Verdana"/>
          <w:lang w:val="en-GB"/>
        </w:rPr>
        <w:t>local</w:t>
      </w:r>
      <w:r w:rsidR="00851C6D" w:rsidRPr="00DE79CB">
        <w:rPr>
          <w:rStyle w:val="cf01"/>
          <w:rFonts w:ascii="Verdana" w:hAnsi="Verdana" w:cs="Verdana"/>
          <w:lang w:val="en-GB"/>
        </w:rPr>
        <w:t>)</w:t>
      </w:r>
      <w:r w:rsidRPr="00DE79CB">
        <w:rPr>
          <w:rStyle w:val="cf01"/>
          <w:rFonts w:ascii="Verdana" w:hAnsi="Verdana" w:cs="Verdana"/>
          <w:lang w:val="en-GB"/>
        </w:rPr>
        <w:t xml:space="preserve"> civil society organisations. </w:t>
      </w:r>
      <w:r w:rsidR="002E1907" w:rsidRPr="00DE79CB">
        <w:rPr>
          <w:sz w:val="18"/>
          <w:szCs w:val="18"/>
          <w:lang w:val="en-GB"/>
        </w:rPr>
        <w:t xml:space="preserve">Civil society organisations play a key role in socio-economic development by ensuring that development assistance makes a difference in the target countries of this grant programme. </w:t>
      </w:r>
      <w:r w:rsidRPr="00DE79CB">
        <w:rPr>
          <w:rStyle w:val="cf01"/>
          <w:rFonts w:ascii="Verdana" w:hAnsi="Verdana" w:cs="Verdana"/>
          <w:lang w:val="en-GB"/>
        </w:rPr>
        <w:t xml:space="preserve">The grant programme focuses on value chains that are relevant to </w:t>
      </w:r>
      <w:r w:rsidR="00DC1133" w:rsidRPr="00DE79CB">
        <w:rPr>
          <w:rStyle w:val="cf01"/>
          <w:rFonts w:ascii="Verdana" w:hAnsi="Verdana" w:cs="Verdana"/>
          <w:lang w:val="en-GB"/>
        </w:rPr>
        <w:t xml:space="preserve">both </w:t>
      </w:r>
      <w:r w:rsidRPr="00DE79CB">
        <w:rPr>
          <w:rStyle w:val="cf01"/>
          <w:rFonts w:ascii="Verdana" w:hAnsi="Verdana" w:cs="Verdana"/>
          <w:lang w:val="en-GB"/>
        </w:rPr>
        <w:t xml:space="preserve">the </w:t>
      </w:r>
      <w:r w:rsidR="00DC1133" w:rsidRPr="00DE79CB">
        <w:rPr>
          <w:rStyle w:val="cf01"/>
          <w:rFonts w:ascii="Verdana" w:hAnsi="Verdana" w:cs="Verdana"/>
          <w:lang w:val="en-GB"/>
        </w:rPr>
        <w:t xml:space="preserve">target countries as the </w:t>
      </w:r>
      <w:r w:rsidRPr="00DE79CB">
        <w:rPr>
          <w:rStyle w:val="cf01"/>
          <w:rFonts w:ascii="Verdana" w:hAnsi="Verdana" w:cs="Verdana"/>
          <w:lang w:val="en-GB"/>
        </w:rPr>
        <w:t>Netherlands</w:t>
      </w:r>
      <w:r w:rsidR="00DC1133" w:rsidRPr="00DE79CB">
        <w:rPr>
          <w:rStyle w:val="cf01"/>
          <w:rFonts w:ascii="Verdana" w:hAnsi="Verdana" w:cs="Verdana"/>
          <w:lang w:val="en-GB"/>
        </w:rPr>
        <w:t xml:space="preserve"> or Europe</w:t>
      </w:r>
      <w:r w:rsidR="00B672C3" w:rsidRPr="00DE79CB">
        <w:rPr>
          <w:rStyle w:val="cf01"/>
          <w:rFonts w:ascii="Verdana" w:hAnsi="Verdana" w:cs="Verdana"/>
          <w:lang w:val="en-GB"/>
        </w:rPr>
        <w:t>:</w:t>
      </w:r>
      <w:r w:rsidRPr="00DE79CB">
        <w:rPr>
          <w:rStyle w:val="cf01"/>
          <w:rFonts w:ascii="Verdana" w:hAnsi="Verdana" w:cs="Verdana"/>
          <w:lang w:val="en-GB"/>
        </w:rPr>
        <w:t xml:space="preserve"> including the Dutch segment of the value chain will enhance the local impact</w:t>
      </w:r>
      <w:r w:rsidR="0033080A" w:rsidRPr="00DE79CB">
        <w:rPr>
          <w:rStyle w:val="cf01"/>
          <w:rFonts w:ascii="Verdana" w:hAnsi="Verdana" w:cs="Verdana"/>
          <w:lang w:val="en-GB"/>
        </w:rPr>
        <w:t>,</w:t>
      </w:r>
      <w:r w:rsidRPr="00DE79CB">
        <w:rPr>
          <w:rStyle w:val="cf01"/>
          <w:rFonts w:ascii="Verdana" w:hAnsi="Verdana" w:cs="Verdana"/>
          <w:lang w:val="en-GB"/>
        </w:rPr>
        <w:t xml:space="preserve"> and therefore the effectiveness</w:t>
      </w:r>
      <w:r w:rsidR="0033080A" w:rsidRPr="00DE79CB">
        <w:rPr>
          <w:rStyle w:val="cf01"/>
          <w:rFonts w:ascii="Verdana" w:hAnsi="Verdana" w:cs="Verdana"/>
          <w:lang w:val="en-GB"/>
        </w:rPr>
        <w:t>, and sustainability</w:t>
      </w:r>
      <w:r w:rsidRPr="00DE79CB">
        <w:rPr>
          <w:rStyle w:val="cf01"/>
          <w:rFonts w:ascii="Verdana" w:hAnsi="Verdana" w:cs="Verdana"/>
          <w:lang w:val="en-GB"/>
        </w:rPr>
        <w:t xml:space="preserve"> of the grant programme</w:t>
      </w:r>
      <w:r w:rsidRPr="00DE79CB">
        <w:rPr>
          <w:rStyle w:val="Voetnootmarkering"/>
          <w:sz w:val="18"/>
          <w:szCs w:val="18"/>
          <w:lang w:val="en-GB"/>
        </w:rPr>
        <w:footnoteReference w:id="4"/>
      </w:r>
      <w:r w:rsidRPr="00DE79CB">
        <w:rPr>
          <w:rStyle w:val="cf01"/>
          <w:rFonts w:ascii="Verdana" w:hAnsi="Verdana" w:cs="Verdana"/>
          <w:lang w:val="en-GB"/>
        </w:rPr>
        <w:t xml:space="preserve">. </w:t>
      </w:r>
      <w:r w:rsidR="0033080A" w:rsidRPr="00DE79CB">
        <w:rPr>
          <w:rStyle w:val="cf01"/>
          <w:rFonts w:ascii="Verdana" w:hAnsi="Verdana" w:cs="Verdana"/>
          <w:lang w:val="en-GB"/>
        </w:rPr>
        <w:t xml:space="preserve">Amongst others working on due diligence </w:t>
      </w:r>
      <w:r w:rsidR="00BA25CA" w:rsidRPr="00DE79CB">
        <w:rPr>
          <w:rStyle w:val="cf01"/>
          <w:rFonts w:ascii="Verdana" w:hAnsi="Verdana" w:cs="Verdana"/>
          <w:lang w:val="en-GB"/>
        </w:rPr>
        <w:t xml:space="preserve">and </w:t>
      </w:r>
      <w:r w:rsidR="0033080A" w:rsidRPr="00DE79CB">
        <w:rPr>
          <w:rStyle w:val="cf01"/>
          <w:rFonts w:ascii="Verdana" w:hAnsi="Verdana" w:cs="Verdana"/>
          <w:lang w:val="en-GB"/>
        </w:rPr>
        <w:t xml:space="preserve">responsible procurement practices </w:t>
      </w:r>
      <w:r w:rsidR="00BA25CA" w:rsidRPr="00DE79CB">
        <w:rPr>
          <w:rStyle w:val="cf01"/>
          <w:rFonts w:ascii="Verdana" w:hAnsi="Verdana" w:cs="Verdana"/>
          <w:lang w:val="en-GB"/>
        </w:rPr>
        <w:t xml:space="preserve">in the Netherlands, will </w:t>
      </w:r>
      <w:r w:rsidR="0033080A" w:rsidRPr="00DE79CB">
        <w:rPr>
          <w:rStyle w:val="cf01"/>
          <w:rFonts w:ascii="Verdana" w:hAnsi="Verdana" w:cs="Verdana"/>
          <w:lang w:val="en-GB"/>
        </w:rPr>
        <w:t xml:space="preserve">prevent that sustainability costs are </w:t>
      </w:r>
      <w:r w:rsidR="00851C6D" w:rsidRPr="00DE79CB">
        <w:rPr>
          <w:rStyle w:val="cf01"/>
          <w:rFonts w:ascii="Verdana" w:hAnsi="Verdana" w:cs="Verdana"/>
          <w:lang w:val="en-GB"/>
        </w:rPr>
        <w:t>being</w:t>
      </w:r>
      <w:r w:rsidR="0033080A" w:rsidRPr="00DE79CB">
        <w:rPr>
          <w:rStyle w:val="cf01"/>
          <w:rFonts w:ascii="Verdana" w:hAnsi="Verdana" w:cs="Verdana"/>
          <w:lang w:val="en-GB"/>
        </w:rPr>
        <w:t xml:space="preserve"> passed on in the value chain. This approach strengthens local earning and investment capacity, as well as the resilience of value chains and the security of supply of products to the Netherlands that </w:t>
      </w:r>
      <w:r w:rsidR="00E970E7" w:rsidRPr="00DE79CB">
        <w:rPr>
          <w:rStyle w:val="cf01"/>
          <w:rFonts w:ascii="Verdana" w:hAnsi="Verdana" w:cs="Verdana"/>
          <w:lang w:val="en-GB"/>
        </w:rPr>
        <w:t>have been produced in compliance with</w:t>
      </w:r>
      <w:r w:rsidR="0033080A" w:rsidRPr="00DE79CB">
        <w:rPr>
          <w:rStyle w:val="cf01"/>
          <w:rFonts w:ascii="Verdana" w:hAnsi="Verdana" w:cs="Verdana"/>
          <w:lang w:val="en-GB"/>
        </w:rPr>
        <w:t xml:space="preserve"> international standards on Responsible Business Conduct</w:t>
      </w:r>
      <w:r w:rsidR="00AD65FD" w:rsidRPr="00DE79CB">
        <w:rPr>
          <w:rStyle w:val="cf01"/>
          <w:rFonts w:ascii="Verdana" w:hAnsi="Verdana" w:cs="Verdana"/>
          <w:lang w:val="en-GB"/>
        </w:rPr>
        <w:t xml:space="preserve"> (RBC)</w:t>
      </w:r>
      <w:r w:rsidR="006B2307" w:rsidRPr="00DE79CB">
        <w:rPr>
          <w:rStyle w:val="Voetnootmarkering"/>
          <w:sz w:val="18"/>
          <w:szCs w:val="18"/>
          <w:lang w:val="en-GB"/>
        </w:rPr>
        <w:footnoteReference w:id="5"/>
      </w:r>
      <w:r w:rsidR="0033080A" w:rsidRPr="00DE79CB">
        <w:rPr>
          <w:rStyle w:val="cf01"/>
          <w:rFonts w:ascii="Verdana" w:hAnsi="Verdana" w:cs="Verdana"/>
          <w:lang w:val="en-GB"/>
        </w:rPr>
        <w:t>.</w:t>
      </w:r>
    </w:p>
    <w:p w14:paraId="311EB775" w14:textId="77777777" w:rsidR="00195B4B" w:rsidRPr="00DE79CB" w:rsidRDefault="00195B4B" w:rsidP="00655670">
      <w:pPr>
        <w:pStyle w:val="Plattetekst"/>
        <w:ind w:right="162"/>
        <w:rPr>
          <w:rStyle w:val="cf01"/>
          <w:rFonts w:ascii="Verdana" w:hAnsi="Verdana" w:cs="Verdana"/>
          <w:lang w:val="en-GB"/>
        </w:rPr>
      </w:pPr>
    </w:p>
    <w:p w14:paraId="7FCB498E" w14:textId="39AAA3D6" w:rsidR="006B6639" w:rsidRPr="00DE79CB" w:rsidRDefault="001332CB" w:rsidP="00655670">
      <w:pPr>
        <w:pStyle w:val="Plattetekst"/>
        <w:ind w:right="162"/>
        <w:rPr>
          <w:rStyle w:val="cf01"/>
          <w:rFonts w:ascii="Verdana" w:hAnsi="Verdana" w:cs="Verdana"/>
          <w:lang w:val="en-US"/>
        </w:rPr>
      </w:pPr>
      <w:r w:rsidRPr="00DE79CB">
        <w:rPr>
          <w:rStyle w:val="cf01"/>
          <w:rFonts w:ascii="Verdana" w:hAnsi="Verdana" w:cs="Verdana"/>
          <w:lang w:val="en-GB"/>
        </w:rPr>
        <w:t xml:space="preserve">The grant programme also forms part of the </w:t>
      </w:r>
      <w:r w:rsidR="00195B4B" w:rsidRPr="00DE79CB">
        <w:rPr>
          <w:rStyle w:val="cf01"/>
          <w:rFonts w:ascii="Verdana" w:hAnsi="Verdana" w:cs="Verdana"/>
          <w:lang w:val="en-GB"/>
        </w:rPr>
        <w:t xml:space="preserve">accompanying </w:t>
      </w:r>
      <w:r w:rsidR="006D1367" w:rsidRPr="00DE79CB">
        <w:rPr>
          <w:rStyle w:val="cf01"/>
          <w:rFonts w:ascii="Verdana" w:hAnsi="Verdana" w:cs="Verdana"/>
          <w:lang w:val="en-GB"/>
        </w:rPr>
        <w:t xml:space="preserve">measures </w:t>
      </w:r>
      <w:r w:rsidRPr="00DE79CB">
        <w:rPr>
          <w:rStyle w:val="cf01"/>
          <w:rFonts w:ascii="Verdana" w:hAnsi="Verdana" w:cs="Verdana"/>
          <w:lang w:val="en-GB"/>
        </w:rPr>
        <w:t xml:space="preserve">of the government in relation to </w:t>
      </w:r>
      <w:r w:rsidR="00A12123" w:rsidRPr="00DE79CB">
        <w:rPr>
          <w:rStyle w:val="cf01"/>
          <w:rFonts w:ascii="Verdana" w:hAnsi="Verdana" w:cs="Verdana"/>
          <w:lang w:val="en-GB"/>
        </w:rPr>
        <w:t xml:space="preserve">European </w:t>
      </w:r>
      <w:r w:rsidR="006B2307" w:rsidRPr="00DE79CB">
        <w:rPr>
          <w:rStyle w:val="cf01"/>
          <w:rFonts w:ascii="Verdana" w:hAnsi="Verdana" w:cs="Verdana"/>
          <w:lang w:val="en-GB"/>
        </w:rPr>
        <w:t>RBC-related legislation and regulations</w:t>
      </w:r>
      <w:r w:rsidRPr="00DE79CB">
        <w:rPr>
          <w:rStyle w:val="Voetnootmarkering"/>
          <w:sz w:val="18"/>
          <w:szCs w:val="18"/>
          <w:lang w:val="en-GB"/>
        </w:rPr>
        <w:footnoteReference w:id="6"/>
      </w:r>
      <w:r w:rsidRPr="00DE79CB">
        <w:rPr>
          <w:rStyle w:val="cf01"/>
          <w:rFonts w:ascii="Verdana" w:hAnsi="Verdana" w:cs="Verdana"/>
          <w:lang w:val="en-GB"/>
        </w:rPr>
        <w:t xml:space="preserve">. </w:t>
      </w:r>
      <w:r w:rsidR="00A12123" w:rsidRPr="00DE79CB">
        <w:rPr>
          <w:rStyle w:val="cf01"/>
          <w:rFonts w:ascii="Verdana" w:hAnsi="Verdana" w:cs="Verdana"/>
          <w:lang w:val="en-GB"/>
        </w:rPr>
        <w:t xml:space="preserve">The </w:t>
      </w:r>
      <w:r w:rsidR="00F45F47" w:rsidRPr="00DE79CB">
        <w:rPr>
          <w:rStyle w:val="cf01"/>
          <w:rFonts w:ascii="Verdana" w:hAnsi="Verdana" w:cs="Verdana"/>
          <w:lang w:val="en-GB"/>
        </w:rPr>
        <w:t xml:space="preserve">shift from voluntary RBC standards to RBC-related legislation and regulations will have a significant impact on global value chains. In order to implement this legislation effectively, support </w:t>
      </w:r>
      <w:r w:rsidR="00BA25CA" w:rsidRPr="00DE79CB">
        <w:rPr>
          <w:rStyle w:val="cf01"/>
          <w:rFonts w:ascii="Verdana" w:hAnsi="Verdana" w:cs="Verdana"/>
          <w:lang w:val="en-GB"/>
        </w:rPr>
        <w:t>of</w:t>
      </w:r>
      <w:r w:rsidR="00F45F47" w:rsidRPr="00DE79CB">
        <w:rPr>
          <w:rStyle w:val="cf01"/>
          <w:rFonts w:ascii="Verdana" w:hAnsi="Verdana" w:cs="Verdana"/>
          <w:lang w:val="en-GB"/>
        </w:rPr>
        <w:t xml:space="preserve"> the business community is essential. This grant programme contributes to this process via the crucial role of civil society. Furthermore, s</w:t>
      </w:r>
      <w:r w:rsidRPr="00DE79CB">
        <w:rPr>
          <w:rStyle w:val="cf01"/>
          <w:rFonts w:ascii="Verdana" w:hAnsi="Verdana" w:cs="Verdana"/>
          <w:lang w:val="en-GB"/>
        </w:rPr>
        <w:t xml:space="preserve">trengthening civil society is </w:t>
      </w:r>
      <w:r w:rsidR="00457D06" w:rsidRPr="00DE79CB">
        <w:rPr>
          <w:rStyle w:val="cf01"/>
          <w:rFonts w:ascii="Verdana" w:hAnsi="Verdana" w:cs="Verdana"/>
          <w:lang w:val="en-GB"/>
        </w:rPr>
        <w:t xml:space="preserve">also </w:t>
      </w:r>
      <w:r w:rsidRPr="00DE79CB">
        <w:rPr>
          <w:rStyle w:val="cf01"/>
          <w:rFonts w:ascii="Verdana" w:hAnsi="Verdana" w:cs="Verdana"/>
          <w:lang w:val="en-GB"/>
        </w:rPr>
        <w:t xml:space="preserve">one of the objectives of the National Action Plan on Business and Human Rights, the Dutch implementation of the United Nations Guiding Principles on Business and Human Rights. The OECD Guidelines for Multinational Enterprises likewise highlight the importance of </w:t>
      </w:r>
      <w:r w:rsidR="00BA25CA" w:rsidRPr="00DE79CB">
        <w:rPr>
          <w:rStyle w:val="cf01"/>
          <w:rFonts w:ascii="Verdana" w:hAnsi="Verdana" w:cs="Verdana"/>
          <w:lang w:val="en-GB"/>
        </w:rPr>
        <w:t xml:space="preserve">a </w:t>
      </w:r>
      <w:r w:rsidRPr="00DE79CB">
        <w:rPr>
          <w:rStyle w:val="cf01"/>
          <w:rFonts w:ascii="Verdana" w:hAnsi="Verdana" w:cs="Verdana"/>
          <w:lang w:val="en-GB"/>
        </w:rPr>
        <w:t xml:space="preserve">healthy civil society for the effective implementation of due diligence. </w:t>
      </w:r>
    </w:p>
    <w:p w14:paraId="50D04C8B" w14:textId="77777777" w:rsidR="006B6639" w:rsidRPr="00DE79CB" w:rsidRDefault="006B6639" w:rsidP="00655670">
      <w:pPr>
        <w:pStyle w:val="Plattetekst"/>
        <w:ind w:right="162"/>
        <w:rPr>
          <w:rStyle w:val="cf01"/>
          <w:rFonts w:ascii="Verdana" w:hAnsi="Verdana" w:cs="Verdana"/>
          <w:lang w:val="en-US"/>
        </w:rPr>
      </w:pPr>
    </w:p>
    <w:p w14:paraId="606C234D" w14:textId="0FD49043" w:rsidR="00EA3F9C" w:rsidRPr="00DE79CB" w:rsidRDefault="001332CB" w:rsidP="00655670">
      <w:pPr>
        <w:pStyle w:val="Plattetekst"/>
        <w:ind w:right="162"/>
        <w:rPr>
          <w:rStyle w:val="cf01"/>
          <w:rFonts w:ascii="Verdana" w:hAnsi="Verdana" w:cs="Verdana"/>
          <w:lang w:val="en-US"/>
        </w:rPr>
      </w:pPr>
      <w:r w:rsidRPr="00DE79CB">
        <w:rPr>
          <w:rStyle w:val="cf01"/>
          <w:rFonts w:ascii="Verdana" w:hAnsi="Verdana" w:cs="Verdana"/>
          <w:lang w:val="en-GB"/>
        </w:rPr>
        <w:t>This grant programme explicitly serves to strengthen local civil society organisations, while harnessing Dutch knowledge and expertise to create linkages with Dutch enterprises at the end of the value chain (see above). Examples include the well-known Dutch Diamond approach</w:t>
      </w:r>
      <w:r w:rsidR="00F45F47" w:rsidRPr="00DE79CB">
        <w:rPr>
          <w:rStyle w:val="Voetnootmarkering"/>
          <w:sz w:val="18"/>
          <w:szCs w:val="18"/>
          <w:lang w:val="en-GB"/>
        </w:rPr>
        <w:footnoteReference w:id="7"/>
      </w:r>
      <w:r w:rsidRPr="00DE79CB">
        <w:rPr>
          <w:rStyle w:val="cf01"/>
          <w:rFonts w:ascii="Verdana" w:hAnsi="Verdana" w:cs="Verdana"/>
          <w:lang w:val="en-GB"/>
        </w:rPr>
        <w:t xml:space="preserve">, as applied in efforts to make the cocoa value chain more sustainable through the Dutch Initiative on Sustainable Cocoa (DISCO), as well as Dutch civil society organisations that effectively link local civil society organisations with Dutch enterprises to promote </w:t>
      </w:r>
      <w:r w:rsidR="00487EC6" w:rsidRPr="00DE79CB">
        <w:rPr>
          <w:rStyle w:val="cf01"/>
          <w:rFonts w:ascii="Verdana" w:hAnsi="Verdana" w:cs="Verdana"/>
          <w:lang w:val="en-GB"/>
        </w:rPr>
        <w:t xml:space="preserve">sustainable </w:t>
      </w:r>
      <w:r w:rsidRPr="00DE79CB">
        <w:rPr>
          <w:rStyle w:val="cf01"/>
          <w:rFonts w:ascii="Verdana" w:hAnsi="Verdana" w:cs="Verdana"/>
          <w:lang w:val="en-GB"/>
        </w:rPr>
        <w:t>and fair trade.</w:t>
      </w:r>
    </w:p>
    <w:p w14:paraId="1F79DA78" w14:textId="77777777" w:rsidR="00884DDD" w:rsidRPr="00DE79CB" w:rsidRDefault="00884DDD" w:rsidP="00655670">
      <w:pPr>
        <w:pStyle w:val="TableParagraph"/>
        <w:ind w:left="0" w:right="100"/>
        <w:rPr>
          <w:rStyle w:val="cf01"/>
          <w:rFonts w:ascii="Verdana" w:hAnsi="Verdana" w:cs="Verdana"/>
          <w:lang w:val="en-US"/>
        </w:rPr>
      </w:pPr>
      <w:bookmarkStart w:id="5" w:name="_Hlk159328150"/>
    </w:p>
    <w:p w14:paraId="78DD00F3" w14:textId="3DD59EDD" w:rsidR="006422C7" w:rsidRPr="00DE79CB" w:rsidRDefault="006B337A" w:rsidP="00655670">
      <w:pPr>
        <w:spacing w:after="0" w:line="240" w:lineRule="auto"/>
        <w:rPr>
          <w:rFonts w:ascii="Verdana" w:hAnsi="Verdana"/>
          <w:sz w:val="18"/>
          <w:szCs w:val="18"/>
          <w:lang w:val="en-US"/>
        </w:rPr>
      </w:pPr>
      <w:bookmarkStart w:id="6" w:name="_Hlk217038305"/>
      <w:r w:rsidRPr="00DE79CB">
        <w:rPr>
          <w:rFonts w:ascii="Verdana" w:hAnsi="Verdana"/>
          <w:sz w:val="18"/>
          <w:szCs w:val="18"/>
          <w:lang w:val="en-GB"/>
        </w:rPr>
        <w:t xml:space="preserve">This </w:t>
      </w:r>
      <w:r w:rsidR="0013667A" w:rsidRPr="00DE79CB">
        <w:rPr>
          <w:rFonts w:ascii="Verdana" w:hAnsi="Verdana"/>
          <w:sz w:val="18"/>
          <w:szCs w:val="18"/>
          <w:lang w:val="en-GB"/>
        </w:rPr>
        <w:t xml:space="preserve">grant programme follows the OECD Guidelines for Multinational Enterprises, the United Nations Guiding Principles on Business &amp; Human Rights, and its themes. Economic, social, and environmental aspects are addressed holistically in line with the </w:t>
      </w:r>
      <w:r w:rsidR="0013667A" w:rsidRPr="00DE79CB">
        <w:rPr>
          <w:rFonts w:ascii="Verdana" w:hAnsi="Verdana"/>
          <w:i/>
          <w:iCs/>
          <w:sz w:val="18"/>
          <w:szCs w:val="18"/>
          <w:lang w:val="en-GB"/>
        </w:rPr>
        <w:t>People, Planet, Profit</w:t>
      </w:r>
      <w:r w:rsidR="0013667A" w:rsidRPr="00DE79CB">
        <w:rPr>
          <w:rFonts w:ascii="Verdana" w:hAnsi="Verdana"/>
          <w:sz w:val="18"/>
          <w:szCs w:val="18"/>
          <w:lang w:val="en-GB"/>
        </w:rPr>
        <w:t xml:space="preserve"> </w:t>
      </w:r>
      <w:r w:rsidR="0013667A" w:rsidRPr="00DE79CB">
        <w:rPr>
          <w:rStyle w:val="cf01"/>
          <w:rFonts w:ascii="Verdana" w:hAnsi="Verdana" w:cs="Verdana"/>
          <w:lang w:val="en-GB"/>
        </w:rPr>
        <w:t xml:space="preserve">principle </w:t>
      </w:r>
      <w:bookmarkEnd w:id="6"/>
      <w:r w:rsidR="0013667A" w:rsidRPr="00DE79CB">
        <w:rPr>
          <w:rStyle w:val="cf01"/>
          <w:rFonts w:ascii="Verdana" w:hAnsi="Verdana" w:cs="Verdana"/>
          <w:lang w:val="en-GB"/>
        </w:rPr>
        <w:t>, as set out in appendix 2 to these policy rules.</w:t>
      </w:r>
      <w:r w:rsidR="006B2307" w:rsidRPr="00DE79CB" w:rsidDel="006B2307">
        <w:rPr>
          <w:rStyle w:val="Voetnootmarkering"/>
          <w:rFonts w:ascii="Verdana" w:hAnsi="Verdana"/>
          <w:sz w:val="18"/>
          <w:szCs w:val="18"/>
          <w:lang w:val="en-GB"/>
        </w:rPr>
        <w:t xml:space="preserve"> </w:t>
      </w:r>
      <w:r w:rsidR="0013667A" w:rsidRPr="00DE79CB">
        <w:rPr>
          <w:rStyle w:val="cf01"/>
          <w:rFonts w:ascii="Verdana" w:hAnsi="Verdana" w:cs="Verdana"/>
          <w:lang w:val="en-GB"/>
        </w:rPr>
        <w:t xml:space="preserve">Civil society organisations may, with support from this grant programme and drawing on their knowledge of the Dutch and European markets, connect </w:t>
      </w:r>
      <w:r w:rsidR="0013667A" w:rsidRPr="00DE79CB">
        <w:rPr>
          <w:rStyle w:val="cf01"/>
          <w:rFonts w:ascii="Verdana" w:hAnsi="Verdana" w:cs="Verdana"/>
          <w:lang w:val="en-GB"/>
        </w:rPr>
        <w:lastRenderedPageBreak/>
        <w:t xml:space="preserve">local civil society organisations with Dutch enterprises and their suppliers, thereby contributing to </w:t>
      </w:r>
      <w:r w:rsidR="00487EC6" w:rsidRPr="00DE79CB">
        <w:rPr>
          <w:rStyle w:val="cf01"/>
          <w:rFonts w:ascii="Verdana" w:hAnsi="Verdana" w:cs="Verdana"/>
          <w:lang w:val="en-GB"/>
        </w:rPr>
        <w:t xml:space="preserve">sustainable </w:t>
      </w:r>
      <w:r w:rsidR="0013667A" w:rsidRPr="00DE79CB">
        <w:rPr>
          <w:rStyle w:val="cf01"/>
          <w:rFonts w:ascii="Verdana" w:hAnsi="Verdana" w:cs="Verdana"/>
          <w:lang w:val="en-GB"/>
        </w:rPr>
        <w:t>and fair trade.</w:t>
      </w:r>
      <w:r w:rsidR="0013667A" w:rsidRPr="00DE79CB">
        <w:rPr>
          <w:rFonts w:ascii="Verdana" w:hAnsi="Verdana"/>
          <w:sz w:val="18"/>
          <w:szCs w:val="18"/>
          <w:lang w:val="en-GB"/>
        </w:rPr>
        <w:t xml:space="preserve"> </w:t>
      </w:r>
    </w:p>
    <w:bookmarkEnd w:id="5"/>
    <w:p w14:paraId="64F2182F" w14:textId="77777777" w:rsidR="00F05100" w:rsidRPr="00DE79CB" w:rsidRDefault="00F05100" w:rsidP="00655670">
      <w:pPr>
        <w:spacing w:after="0" w:line="240" w:lineRule="auto"/>
        <w:rPr>
          <w:rFonts w:ascii="Verdana" w:eastAsia="Verdana" w:hAnsi="Verdana" w:cs="Verdana"/>
          <w:strike/>
          <w:sz w:val="18"/>
          <w:szCs w:val="18"/>
          <w:lang w:val="en-US"/>
        </w:rPr>
      </w:pPr>
    </w:p>
    <w:p w14:paraId="44D781B5" w14:textId="06B392E3" w:rsidR="00F05100" w:rsidRPr="00DE79CB" w:rsidRDefault="00F66420"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 xml:space="preserve">This grant programme was designed to be consistent with the policy principles of the broader Focus framework and aligns with other grant programmes and initiatives of the Ministry of Foreign Affairs that relate to international </w:t>
      </w:r>
      <w:r w:rsidR="00B02879" w:rsidRPr="00DE79CB">
        <w:rPr>
          <w:rFonts w:ascii="Verdana" w:eastAsia="Verdana" w:hAnsi="Verdana" w:cs="Verdana"/>
          <w:sz w:val="18"/>
          <w:szCs w:val="18"/>
          <w:lang w:val="en-GB"/>
        </w:rPr>
        <w:t>Responsible B</w:t>
      </w:r>
      <w:r w:rsidRPr="00DE79CB">
        <w:rPr>
          <w:rFonts w:ascii="Verdana" w:eastAsia="Verdana" w:hAnsi="Verdana" w:cs="Verdana"/>
          <w:sz w:val="18"/>
          <w:szCs w:val="18"/>
          <w:lang w:val="en-GB"/>
        </w:rPr>
        <w:t xml:space="preserve">usiness </w:t>
      </w:r>
      <w:r w:rsidR="00B02879" w:rsidRPr="00DE79CB">
        <w:rPr>
          <w:rFonts w:ascii="Verdana" w:eastAsia="Verdana" w:hAnsi="Verdana" w:cs="Verdana"/>
          <w:sz w:val="18"/>
          <w:szCs w:val="18"/>
          <w:lang w:val="en-GB"/>
        </w:rPr>
        <w:t>C</w:t>
      </w:r>
      <w:r w:rsidRPr="00DE79CB">
        <w:rPr>
          <w:rFonts w:ascii="Verdana" w:eastAsia="Verdana" w:hAnsi="Verdana" w:cs="Verdana"/>
          <w:sz w:val="18"/>
          <w:szCs w:val="18"/>
          <w:lang w:val="en-GB"/>
        </w:rPr>
        <w:t xml:space="preserve">onduct, including the </w:t>
      </w:r>
      <w:r w:rsidR="00261720" w:rsidRPr="00DE79CB">
        <w:rPr>
          <w:rFonts w:ascii="Verdana" w:eastAsia="Verdana" w:hAnsi="Verdana" w:cs="Verdana"/>
          <w:sz w:val="18"/>
          <w:szCs w:val="18"/>
          <w:lang w:val="en-GB"/>
        </w:rPr>
        <w:t>Grant</w:t>
      </w:r>
      <w:r w:rsidR="00B02879" w:rsidRPr="00DE79CB">
        <w:rPr>
          <w:rFonts w:ascii="Verdana" w:eastAsia="Verdana" w:hAnsi="Verdana" w:cs="Verdana"/>
          <w:sz w:val="18"/>
          <w:szCs w:val="18"/>
          <w:lang w:val="en-GB"/>
        </w:rPr>
        <w:t xml:space="preserve"> Programme for Responsible Business</w:t>
      </w:r>
      <w:r w:rsidR="00B02879" w:rsidRPr="00DE79CB" w:rsidDel="00B02879">
        <w:rPr>
          <w:rFonts w:ascii="Verdana" w:eastAsia="Verdana" w:hAnsi="Verdana" w:cs="Verdana"/>
          <w:sz w:val="18"/>
          <w:szCs w:val="18"/>
          <w:lang w:val="en-GB"/>
        </w:rPr>
        <w:t xml:space="preserve"> </w:t>
      </w:r>
      <w:r w:rsidR="00B02879" w:rsidRPr="00DE79CB">
        <w:rPr>
          <w:rFonts w:ascii="Verdana" w:eastAsia="Verdana" w:hAnsi="Verdana" w:cs="Verdana"/>
          <w:sz w:val="18"/>
          <w:szCs w:val="18"/>
          <w:lang w:val="en-GB"/>
        </w:rPr>
        <w:t>(SPVO)</w:t>
      </w:r>
      <w:r w:rsidRPr="00DE79CB">
        <w:rPr>
          <w:rStyle w:val="Voetnootmarkering"/>
          <w:rFonts w:ascii="Verdana" w:eastAsia="Verdana" w:hAnsi="Verdana" w:cs="Verdana"/>
          <w:sz w:val="18"/>
          <w:szCs w:val="18"/>
          <w:lang w:val="en-GB"/>
        </w:rPr>
        <w:footnoteReference w:id="8"/>
      </w:r>
      <w:r w:rsidRPr="00DE79CB">
        <w:rPr>
          <w:rFonts w:ascii="Verdana" w:eastAsia="Verdana" w:hAnsi="Verdana" w:cs="Verdana"/>
          <w:sz w:val="18"/>
          <w:szCs w:val="18"/>
          <w:lang w:val="en-GB"/>
        </w:rPr>
        <w:t xml:space="preserve">, the </w:t>
      </w:r>
      <w:r w:rsidR="00261720" w:rsidRPr="00DE79CB">
        <w:rPr>
          <w:rFonts w:ascii="Verdana" w:eastAsia="Verdana" w:hAnsi="Verdana" w:cs="Verdana"/>
          <w:sz w:val="18"/>
          <w:szCs w:val="18"/>
          <w:lang w:val="en-GB"/>
        </w:rPr>
        <w:t xml:space="preserve">Grant Programme </w:t>
      </w:r>
      <w:r w:rsidR="00B02879" w:rsidRPr="00DE79CB">
        <w:rPr>
          <w:rFonts w:ascii="Verdana" w:eastAsia="Verdana" w:hAnsi="Verdana" w:cs="Verdana"/>
          <w:sz w:val="18"/>
          <w:szCs w:val="18"/>
          <w:lang w:val="en-GB"/>
        </w:rPr>
        <w:t xml:space="preserve">Sectoral Partnerships International </w:t>
      </w:r>
      <w:r w:rsidR="00316416" w:rsidRPr="00DE79CB">
        <w:rPr>
          <w:rFonts w:ascii="Verdana" w:eastAsia="Verdana" w:hAnsi="Verdana" w:cs="Verdana"/>
          <w:sz w:val="18"/>
          <w:szCs w:val="18"/>
          <w:lang w:val="en-GB"/>
        </w:rPr>
        <w:t>Responsible Business Conduct</w:t>
      </w:r>
      <w:r w:rsidR="00B02879" w:rsidRPr="00DE79CB" w:rsidDel="00B02879">
        <w:rPr>
          <w:rFonts w:ascii="Verdana" w:eastAsia="Verdana" w:hAnsi="Verdana" w:cs="Verdana"/>
          <w:sz w:val="18"/>
          <w:szCs w:val="18"/>
          <w:lang w:val="en-GB"/>
        </w:rPr>
        <w:t xml:space="preserve"> </w:t>
      </w:r>
      <w:r w:rsidRPr="00DE79CB">
        <w:rPr>
          <w:rStyle w:val="Voetnootmarkering"/>
          <w:rFonts w:ascii="Verdana" w:eastAsia="Verdana" w:hAnsi="Verdana" w:cs="Verdana"/>
          <w:sz w:val="18"/>
          <w:szCs w:val="18"/>
          <w:lang w:val="en-GB"/>
        </w:rPr>
        <w:footnoteReference w:id="9"/>
      </w:r>
      <w:r w:rsidRPr="00DE79CB">
        <w:rPr>
          <w:rFonts w:ascii="Verdana" w:eastAsia="Verdana" w:hAnsi="Verdana" w:cs="Verdana"/>
          <w:sz w:val="18"/>
          <w:szCs w:val="18"/>
          <w:lang w:val="en-GB"/>
        </w:rPr>
        <w:t>, the European Partnership for Responsible Minerals</w:t>
      </w:r>
      <w:r w:rsidRPr="00DE79CB">
        <w:rPr>
          <w:rStyle w:val="Voetnootmarkering"/>
          <w:rFonts w:ascii="Verdana" w:eastAsia="Verdana" w:hAnsi="Verdana" w:cs="Verdana"/>
          <w:sz w:val="18"/>
          <w:szCs w:val="18"/>
          <w:lang w:val="en-GB"/>
        </w:rPr>
        <w:footnoteReference w:id="10"/>
      </w:r>
      <w:r w:rsidRPr="00DE79CB">
        <w:rPr>
          <w:rFonts w:ascii="Verdana" w:eastAsia="Verdana" w:hAnsi="Verdana" w:cs="Verdana"/>
          <w:sz w:val="18"/>
          <w:szCs w:val="18"/>
          <w:lang w:val="en-GB"/>
        </w:rPr>
        <w:t xml:space="preserve"> and the Responsible Business Conduct </w:t>
      </w:r>
      <w:r w:rsidR="00316D95" w:rsidRPr="00DE79CB">
        <w:rPr>
          <w:rFonts w:ascii="Verdana" w:eastAsia="Verdana" w:hAnsi="Verdana" w:cs="Verdana"/>
          <w:sz w:val="18"/>
          <w:szCs w:val="18"/>
          <w:lang w:val="en-GB"/>
        </w:rPr>
        <w:t>Helpdesk</w:t>
      </w:r>
      <w:r w:rsidRPr="00DE79CB">
        <w:rPr>
          <w:rStyle w:val="Voetnootmarkering"/>
          <w:rFonts w:ascii="Verdana" w:eastAsia="Verdana" w:hAnsi="Verdana" w:cs="Verdana"/>
          <w:sz w:val="18"/>
          <w:szCs w:val="18"/>
          <w:lang w:val="en-GB"/>
        </w:rPr>
        <w:footnoteReference w:id="11"/>
      </w:r>
      <w:r w:rsidRPr="00DE79CB">
        <w:rPr>
          <w:rFonts w:ascii="Verdana" w:eastAsia="Verdana" w:hAnsi="Verdana" w:cs="Verdana"/>
          <w:sz w:val="18"/>
          <w:szCs w:val="18"/>
          <w:lang w:val="en-GB"/>
        </w:rPr>
        <w:t>.</w:t>
      </w:r>
    </w:p>
    <w:p w14:paraId="2302CCA4" w14:textId="77777777" w:rsidR="00900967" w:rsidRPr="00DE79CB" w:rsidRDefault="00900967" w:rsidP="00655670">
      <w:pPr>
        <w:pStyle w:val="Plattetekst"/>
        <w:ind w:right="162"/>
        <w:rPr>
          <w:rStyle w:val="cf01"/>
          <w:rFonts w:ascii="Verdana" w:hAnsi="Verdana" w:cs="Verdana"/>
          <w:lang w:val="en-US"/>
        </w:rPr>
      </w:pPr>
    </w:p>
    <w:p w14:paraId="61A8C56B" w14:textId="3635A64E" w:rsidR="0054638D" w:rsidRPr="00DE79CB" w:rsidRDefault="0054638D" w:rsidP="00655670">
      <w:pPr>
        <w:pStyle w:val="Plattetekst"/>
        <w:numPr>
          <w:ilvl w:val="0"/>
          <w:numId w:val="3"/>
        </w:numPr>
        <w:ind w:right="162"/>
        <w:rPr>
          <w:b/>
          <w:bCs/>
          <w:sz w:val="18"/>
          <w:szCs w:val="18"/>
        </w:rPr>
      </w:pPr>
      <w:r w:rsidRPr="00DE79CB">
        <w:rPr>
          <w:b/>
          <w:bCs/>
          <w:sz w:val="18"/>
          <w:szCs w:val="18"/>
          <w:lang w:val="en-GB"/>
        </w:rPr>
        <w:t>Implementing body</w:t>
      </w:r>
    </w:p>
    <w:p w14:paraId="74517D44" w14:textId="77777777" w:rsidR="00B416E7" w:rsidRPr="00DE79CB" w:rsidRDefault="00B416E7" w:rsidP="00655670">
      <w:pPr>
        <w:spacing w:after="0" w:line="240" w:lineRule="auto"/>
        <w:rPr>
          <w:rFonts w:ascii="Verdana" w:eastAsia="Verdana" w:hAnsi="Verdana" w:cs="Verdana"/>
          <w:sz w:val="18"/>
          <w:szCs w:val="18"/>
        </w:rPr>
      </w:pPr>
    </w:p>
    <w:p w14:paraId="22AA9727" w14:textId="5BD0875E" w:rsidR="0054638D" w:rsidRPr="00DE79CB" w:rsidRDefault="0054638D"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The minister has entrusted the implementation of the grant programme to the Netherlands Enterprise Agency (RVO), an agency of the Ministry of Economic Affairs</w:t>
      </w:r>
      <w:r w:rsidR="0074311A" w:rsidRPr="00DE79CB">
        <w:rPr>
          <w:rFonts w:ascii="Verdana" w:eastAsia="Verdana" w:hAnsi="Verdana" w:cs="Verdana"/>
          <w:sz w:val="18"/>
          <w:szCs w:val="18"/>
          <w:lang w:val="en-GB"/>
        </w:rPr>
        <w:t xml:space="preserve"> and Climate</w:t>
      </w:r>
      <w:r w:rsidRPr="00DE79CB">
        <w:rPr>
          <w:rFonts w:ascii="Verdana" w:eastAsia="Verdana" w:hAnsi="Verdana" w:cs="Verdana"/>
          <w:sz w:val="18"/>
          <w:szCs w:val="18"/>
          <w:lang w:val="en-GB"/>
        </w:rPr>
        <w:t>. RVO shall implement the grant programme on behalf of the Minister on the basis of a mandate granted to it.</w:t>
      </w:r>
    </w:p>
    <w:p w14:paraId="12E0B0A1" w14:textId="77777777" w:rsidR="002F3830" w:rsidRPr="00DE79CB" w:rsidRDefault="002F3830" w:rsidP="00655670">
      <w:pPr>
        <w:spacing w:after="0" w:line="240" w:lineRule="auto"/>
        <w:rPr>
          <w:rFonts w:ascii="Verdana" w:eastAsia="Verdana" w:hAnsi="Verdana" w:cs="Verdana"/>
          <w:sz w:val="18"/>
          <w:szCs w:val="18"/>
          <w:lang w:val="en-US"/>
        </w:rPr>
      </w:pPr>
    </w:p>
    <w:p w14:paraId="0575819F" w14:textId="37F08137" w:rsidR="0054638D" w:rsidRPr="00DE79CB" w:rsidRDefault="0054638D" w:rsidP="00655670">
      <w:pPr>
        <w:pStyle w:val="Lijstalinea"/>
        <w:numPr>
          <w:ilvl w:val="0"/>
          <w:numId w:val="3"/>
        </w:numPr>
        <w:spacing w:after="0" w:line="240" w:lineRule="auto"/>
        <w:rPr>
          <w:rFonts w:ascii="Verdana" w:hAnsi="Verdana"/>
          <w:b/>
          <w:bCs/>
          <w:sz w:val="18"/>
          <w:szCs w:val="18"/>
        </w:rPr>
      </w:pPr>
      <w:r w:rsidRPr="00DE79CB">
        <w:rPr>
          <w:rFonts w:ascii="Verdana" w:eastAsia="Verdana" w:hAnsi="Verdana" w:cs="Verdana"/>
          <w:b/>
          <w:bCs/>
          <w:sz w:val="18"/>
          <w:szCs w:val="18"/>
          <w:lang w:val="en-GB"/>
        </w:rPr>
        <w:t>Definitions</w:t>
      </w:r>
    </w:p>
    <w:p w14:paraId="0330E87B" w14:textId="77777777" w:rsidR="00790084" w:rsidRPr="00DE79CB" w:rsidRDefault="00790084" w:rsidP="00655670">
      <w:pPr>
        <w:spacing w:after="0" w:line="240" w:lineRule="auto"/>
        <w:rPr>
          <w:rFonts w:ascii="Verdana" w:eastAsia="Verdana" w:hAnsi="Verdana" w:cs="Verdana"/>
          <w:sz w:val="18"/>
          <w:szCs w:val="18"/>
        </w:rPr>
      </w:pPr>
    </w:p>
    <w:p w14:paraId="31D6F713" w14:textId="4F849F65" w:rsidR="00A3783E" w:rsidRPr="00DE79CB" w:rsidRDefault="0054638D"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For the purposes of the Grant Programme Fair Focus on Trade, the following definitions apply:</w:t>
      </w:r>
    </w:p>
    <w:p w14:paraId="2AF8DF55" w14:textId="57153841" w:rsidR="0067673B" w:rsidRPr="00DE79CB" w:rsidRDefault="00737B31" w:rsidP="00655670">
      <w:pPr>
        <w:pStyle w:val="Lijstalinea"/>
        <w:numPr>
          <w:ilvl w:val="0"/>
          <w:numId w:val="2"/>
        </w:numPr>
        <w:spacing w:after="0" w:line="240" w:lineRule="auto"/>
        <w:ind w:left="357" w:hanging="357"/>
        <w:rPr>
          <w:rFonts w:ascii="Verdana" w:hAnsi="Verdana"/>
          <w:sz w:val="18"/>
          <w:szCs w:val="18"/>
          <w:lang w:val="en-US"/>
        </w:rPr>
      </w:pPr>
      <w:r w:rsidRPr="00DE79CB">
        <w:rPr>
          <w:rFonts w:ascii="Verdana" w:hAnsi="Verdana"/>
          <w:i/>
          <w:iCs/>
          <w:sz w:val="18"/>
          <w:szCs w:val="18"/>
          <w:lang w:val="en-GB"/>
        </w:rPr>
        <w:t xml:space="preserve">Applicant: </w:t>
      </w:r>
      <w:r w:rsidRPr="00DE79CB">
        <w:rPr>
          <w:rFonts w:ascii="Verdana" w:hAnsi="Verdana"/>
          <w:sz w:val="18"/>
          <w:szCs w:val="18"/>
          <w:lang w:val="en-GB"/>
        </w:rPr>
        <w:t>a civil society organisation that independently submits a grant application and is responsible for the full implementation of the project proposed in the application, within the parameters of this grant framework and in compliance with the obligations attached to the grant.</w:t>
      </w:r>
    </w:p>
    <w:p w14:paraId="71D6BDC4" w14:textId="7F4A6278" w:rsidR="006D0FA3" w:rsidRPr="00DE79CB" w:rsidRDefault="006D0FA3" w:rsidP="00655670">
      <w:pPr>
        <w:pStyle w:val="Lijstalinea"/>
        <w:numPr>
          <w:ilvl w:val="0"/>
          <w:numId w:val="2"/>
        </w:numPr>
        <w:spacing w:after="0" w:line="240" w:lineRule="auto"/>
        <w:ind w:left="357" w:hanging="357"/>
        <w:rPr>
          <w:rFonts w:ascii="Verdana" w:hAnsi="Verdana"/>
          <w:sz w:val="18"/>
          <w:szCs w:val="18"/>
          <w:lang w:val="en-US"/>
        </w:rPr>
      </w:pPr>
      <w:r w:rsidRPr="00DE79CB">
        <w:rPr>
          <w:rFonts w:ascii="Verdana" w:hAnsi="Verdana"/>
          <w:i/>
          <w:iCs/>
          <w:sz w:val="18"/>
          <w:szCs w:val="18"/>
          <w:lang w:val="en-GB"/>
        </w:rPr>
        <w:t xml:space="preserve">Capacity </w:t>
      </w:r>
      <w:r w:rsidR="00C56BD4" w:rsidRPr="00DE79CB">
        <w:rPr>
          <w:rFonts w:ascii="Verdana" w:hAnsi="Verdana"/>
          <w:i/>
          <w:iCs/>
          <w:sz w:val="18"/>
          <w:szCs w:val="18"/>
          <w:lang w:val="en-GB"/>
        </w:rPr>
        <w:t>strengthening</w:t>
      </w:r>
      <w:r w:rsidRPr="00DE79CB">
        <w:rPr>
          <w:rFonts w:ascii="Verdana" w:hAnsi="Verdana"/>
          <w:sz w:val="18"/>
          <w:szCs w:val="18"/>
          <w:lang w:val="en-GB"/>
        </w:rPr>
        <w:t xml:space="preserve">: Activities aimed at reinforcing the skills and knowledge of local civil society organisations (referred to in this grant policy framework as in-country partners) with a view to their role as service providers and in conducting </w:t>
      </w:r>
      <w:r w:rsidR="0074311A" w:rsidRPr="00DE79CB">
        <w:rPr>
          <w:rFonts w:ascii="Verdana" w:hAnsi="Verdana"/>
          <w:sz w:val="18"/>
          <w:szCs w:val="18"/>
          <w:lang w:val="en-GB"/>
        </w:rPr>
        <w:t>(</w:t>
      </w:r>
      <w:r w:rsidRPr="00DE79CB">
        <w:rPr>
          <w:rFonts w:ascii="Verdana" w:hAnsi="Verdana"/>
          <w:sz w:val="18"/>
          <w:szCs w:val="18"/>
          <w:lang w:val="en-GB"/>
        </w:rPr>
        <w:t>critical</w:t>
      </w:r>
      <w:r w:rsidR="0074311A" w:rsidRPr="00DE79CB">
        <w:rPr>
          <w:rFonts w:ascii="Verdana" w:hAnsi="Verdana"/>
          <w:sz w:val="18"/>
          <w:szCs w:val="18"/>
          <w:lang w:val="en-GB"/>
        </w:rPr>
        <w:t>)</w:t>
      </w:r>
      <w:r w:rsidRPr="00DE79CB">
        <w:rPr>
          <w:rFonts w:ascii="Verdana" w:hAnsi="Verdana"/>
          <w:sz w:val="18"/>
          <w:szCs w:val="18"/>
          <w:lang w:val="en-GB"/>
        </w:rPr>
        <w:t xml:space="preserve"> dialogue. </w:t>
      </w:r>
    </w:p>
    <w:p w14:paraId="5982E631" w14:textId="32BCCD14" w:rsidR="006D0FA3" w:rsidRPr="00DE79CB" w:rsidRDefault="006D0FA3" w:rsidP="00A200E4">
      <w:pPr>
        <w:pStyle w:val="Lijstalinea"/>
        <w:numPr>
          <w:ilvl w:val="0"/>
          <w:numId w:val="2"/>
        </w:numPr>
        <w:spacing w:after="0" w:line="240" w:lineRule="auto"/>
        <w:ind w:left="357" w:hanging="357"/>
        <w:rPr>
          <w:rFonts w:ascii="Verdana" w:hAnsi="Verdana"/>
          <w:sz w:val="18"/>
          <w:szCs w:val="18"/>
          <w:lang w:val="en-US"/>
        </w:rPr>
      </w:pPr>
      <w:r w:rsidRPr="00DE79CB">
        <w:rPr>
          <w:rFonts w:ascii="Verdana" w:hAnsi="Verdana"/>
          <w:i/>
          <w:iCs/>
          <w:sz w:val="18"/>
          <w:szCs w:val="18"/>
          <w:lang w:val="en-GB"/>
        </w:rPr>
        <w:t>Dialogue</w:t>
      </w:r>
      <w:r w:rsidRPr="00DE79CB">
        <w:rPr>
          <w:rFonts w:ascii="Verdana" w:hAnsi="Verdana"/>
          <w:sz w:val="18"/>
          <w:szCs w:val="18"/>
          <w:lang w:val="en-GB"/>
        </w:rPr>
        <w:t xml:space="preserve">: </w:t>
      </w:r>
      <w:r w:rsidR="00E47C89" w:rsidRPr="00DE79CB">
        <w:rPr>
          <w:rFonts w:ascii="Verdana" w:hAnsi="Verdana"/>
          <w:sz w:val="18"/>
          <w:szCs w:val="18"/>
          <w:lang w:val="en-US"/>
        </w:rPr>
        <w:t xml:space="preserve"> </w:t>
      </w:r>
      <w:r w:rsidR="0074311A" w:rsidRPr="00DE79CB">
        <w:rPr>
          <w:rFonts w:ascii="Verdana" w:hAnsi="Verdana"/>
          <w:sz w:val="18"/>
          <w:szCs w:val="18"/>
          <w:lang w:val="en-US"/>
        </w:rPr>
        <w:t>Activities consisting of conducting targeted dialogue and facilitating interaction between relevant stakeholders</w:t>
      </w:r>
      <w:r w:rsidR="00774FD5" w:rsidRPr="00DE79CB">
        <w:rPr>
          <w:rFonts w:ascii="Verdana" w:hAnsi="Verdana"/>
          <w:sz w:val="18"/>
          <w:szCs w:val="18"/>
          <w:lang w:val="en-US"/>
        </w:rPr>
        <w:t xml:space="preserve">, such as the European Union, governments, multilateral institutions, civil society </w:t>
      </w:r>
      <w:proofErr w:type="spellStart"/>
      <w:r w:rsidR="00774FD5" w:rsidRPr="00DE79CB">
        <w:rPr>
          <w:rFonts w:ascii="Verdana" w:hAnsi="Verdana"/>
          <w:sz w:val="18"/>
          <w:szCs w:val="18"/>
          <w:lang w:val="en-US"/>
        </w:rPr>
        <w:t>organisations</w:t>
      </w:r>
      <w:proofErr w:type="spellEnd"/>
      <w:r w:rsidR="00774FD5" w:rsidRPr="00DE79CB">
        <w:rPr>
          <w:rFonts w:ascii="Verdana" w:hAnsi="Verdana"/>
          <w:sz w:val="18"/>
          <w:szCs w:val="18"/>
          <w:lang w:val="en-US"/>
        </w:rPr>
        <w:t>, and the private sector, with the aim of raising awareness, promoting policy change, and improving (the implementation of) legislation and regulations, to contribute to sustainable and fair trade within the value chain(s) selected by the applicant.</w:t>
      </w:r>
      <w:r w:rsidR="0074311A" w:rsidRPr="00DE79CB">
        <w:rPr>
          <w:rFonts w:ascii="Verdana" w:hAnsi="Verdana"/>
          <w:sz w:val="18"/>
          <w:szCs w:val="18"/>
          <w:lang w:val="en-US"/>
        </w:rPr>
        <w:t xml:space="preserve"> </w:t>
      </w:r>
    </w:p>
    <w:p w14:paraId="5CC44D4F" w14:textId="4D2A0EFB" w:rsidR="006D0FA3" w:rsidRPr="00DE79CB" w:rsidRDefault="006D0FA3" w:rsidP="00D333E4">
      <w:pPr>
        <w:pStyle w:val="Lijstalinea"/>
        <w:numPr>
          <w:ilvl w:val="0"/>
          <w:numId w:val="2"/>
        </w:numPr>
        <w:spacing w:after="0" w:line="240" w:lineRule="auto"/>
        <w:ind w:left="357" w:hanging="357"/>
        <w:rPr>
          <w:rFonts w:ascii="Verdana" w:hAnsi="Verdana"/>
          <w:sz w:val="18"/>
          <w:szCs w:val="18"/>
          <w:lang w:val="en-US"/>
        </w:rPr>
      </w:pPr>
      <w:r w:rsidRPr="00DE79CB">
        <w:rPr>
          <w:rFonts w:ascii="Verdana" w:hAnsi="Verdana"/>
          <w:i/>
          <w:iCs/>
          <w:sz w:val="18"/>
          <w:szCs w:val="18"/>
          <w:lang w:val="en-GB"/>
        </w:rPr>
        <w:t>Service provision:</w:t>
      </w:r>
      <w:r w:rsidRPr="00DE79CB">
        <w:rPr>
          <w:rFonts w:ascii="Verdana" w:hAnsi="Verdana"/>
          <w:sz w:val="18"/>
          <w:szCs w:val="18"/>
          <w:lang w:val="en-GB"/>
        </w:rPr>
        <w:t xml:space="preserve"> </w:t>
      </w:r>
      <w:bookmarkStart w:id="7" w:name="_Hlk217384879"/>
      <w:r w:rsidRPr="00DE79CB">
        <w:rPr>
          <w:rFonts w:ascii="Verdana" w:hAnsi="Verdana"/>
          <w:sz w:val="18"/>
          <w:szCs w:val="18"/>
          <w:lang w:val="en-GB"/>
        </w:rPr>
        <w:t xml:space="preserve">Activities that directly aim to improve the welfare or living conditions of individuals or communities in the target countries. </w:t>
      </w:r>
      <w:bookmarkEnd w:id="7"/>
      <w:r w:rsidRPr="00DE79CB">
        <w:rPr>
          <w:rFonts w:ascii="Verdana" w:hAnsi="Verdana"/>
          <w:sz w:val="18"/>
          <w:szCs w:val="18"/>
          <w:lang w:val="en-GB"/>
        </w:rPr>
        <w:t xml:space="preserve">Examples include education, training or the provision of information in the target countries, such as for local suppliers, farmer cooperatives or trade unions, aimed at improving labour rights and working conditions or preventing deforestation and pollution. </w:t>
      </w:r>
    </w:p>
    <w:p w14:paraId="3DE24ACD" w14:textId="7B49B7E4" w:rsidR="008A3DD9" w:rsidRPr="00DE79CB" w:rsidRDefault="295BFAA1" w:rsidP="00655670">
      <w:pPr>
        <w:pStyle w:val="Lijstalinea"/>
        <w:numPr>
          <w:ilvl w:val="0"/>
          <w:numId w:val="2"/>
        </w:numPr>
        <w:spacing w:after="0" w:line="240" w:lineRule="auto"/>
        <w:ind w:left="357" w:hanging="357"/>
        <w:rPr>
          <w:rFonts w:ascii="Verdana" w:hAnsi="Verdana"/>
          <w:sz w:val="18"/>
          <w:szCs w:val="18"/>
          <w:lang w:val="en-US"/>
        </w:rPr>
      </w:pPr>
      <w:r w:rsidRPr="00DE79CB">
        <w:rPr>
          <w:rFonts w:ascii="Verdana" w:eastAsia="Verdana" w:hAnsi="Verdana" w:cs="Verdana"/>
          <w:i/>
          <w:iCs/>
          <w:sz w:val="18"/>
          <w:szCs w:val="18"/>
          <w:lang w:val="en-GB"/>
        </w:rPr>
        <w:t>Target country</w:t>
      </w:r>
      <w:r w:rsidRPr="00DE79CB">
        <w:rPr>
          <w:rFonts w:ascii="Verdana" w:eastAsia="Verdana" w:hAnsi="Verdana" w:cs="Verdana"/>
          <w:sz w:val="18"/>
          <w:szCs w:val="18"/>
          <w:lang w:val="en-GB"/>
        </w:rPr>
        <w:t>:</w:t>
      </w:r>
      <w:r w:rsidRPr="00DE79CB">
        <w:rPr>
          <w:rFonts w:ascii="Verdana" w:eastAsia="Verdana" w:hAnsi="Verdana" w:cs="Verdana"/>
          <w:color w:val="211D1F"/>
          <w:sz w:val="18"/>
          <w:szCs w:val="18"/>
          <w:lang w:val="en-GB"/>
        </w:rPr>
        <w:t xml:space="preserve"> one</w:t>
      </w:r>
      <w:r w:rsidR="00366716" w:rsidRPr="00DE79CB">
        <w:rPr>
          <w:rFonts w:ascii="Verdana" w:eastAsia="Verdana" w:hAnsi="Verdana" w:cs="Verdana"/>
          <w:color w:val="211D1F"/>
          <w:sz w:val="18"/>
          <w:szCs w:val="18"/>
          <w:lang w:val="en-GB"/>
        </w:rPr>
        <w:t xml:space="preserve"> </w:t>
      </w:r>
      <w:r w:rsidRPr="00DE79CB">
        <w:rPr>
          <w:rFonts w:ascii="Verdana" w:eastAsia="Verdana" w:hAnsi="Verdana" w:cs="Verdana"/>
          <w:sz w:val="18"/>
          <w:szCs w:val="18"/>
          <w:lang w:val="en-GB"/>
        </w:rPr>
        <w:t>of the 21 production countries eligible under this grant programme, as listed in appendix 1 to these policy rules.</w:t>
      </w:r>
    </w:p>
    <w:p w14:paraId="105B13E8" w14:textId="0E21BABB" w:rsidR="006D0FA3" w:rsidRPr="00DE79CB" w:rsidRDefault="006D0FA3" w:rsidP="00655670">
      <w:pPr>
        <w:pStyle w:val="Lijstalinea"/>
        <w:numPr>
          <w:ilvl w:val="0"/>
          <w:numId w:val="2"/>
        </w:numPr>
        <w:spacing w:after="0" w:line="240" w:lineRule="auto"/>
        <w:rPr>
          <w:rFonts w:ascii="Verdana" w:hAnsi="Verdana"/>
          <w:sz w:val="18"/>
          <w:szCs w:val="18"/>
          <w:lang w:val="en-US"/>
        </w:rPr>
      </w:pPr>
      <w:r w:rsidRPr="00DE79CB">
        <w:rPr>
          <w:rFonts w:ascii="Verdana" w:hAnsi="Verdana"/>
          <w:i/>
          <w:iCs/>
          <w:sz w:val="18"/>
          <w:szCs w:val="18"/>
          <w:lang w:val="en-GB"/>
        </w:rPr>
        <w:t>Financing activities:</w:t>
      </w:r>
      <w:r w:rsidRPr="00DE79CB">
        <w:rPr>
          <w:rFonts w:ascii="Verdana" w:hAnsi="Verdana"/>
          <w:sz w:val="18"/>
          <w:szCs w:val="18"/>
          <w:lang w:val="en-GB"/>
        </w:rPr>
        <w:t xml:space="preserve"> The provision of financial resources by the </w:t>
      </w:r>
      <w:r w:rsidR="00774FD5" w:rsidRPr="00DE79CB">
        <w:rPr>
          <w:rFonts w:ascii="Verdana" w:hAnsi="Verdana"/>
          <w:sz w:val="18"/>
          <w:szCs w:val="18"/>
          <w:lang w:val="en-GB"/>
        </w:rPr>
        <w:t xml:space="preserve">grant recipient </w:t>
      </w:r>
      <w:r w:rsidR="00AC709E" w:rsidRPr="00DE79CB">
        <w:rPr>
          <w:rFonts w:ascii="Verdana" w:hAnsi="Verdana"/>
          <w:sz w:val="18"/>
          <w:szCs w:val="18"/>
          <w:lang w:val="en-GB"/>
        </w:rPr>
        <w:t>on its own behalf</w:t>
      </w:r>
      <w:r w:rsidR="00402BC1" w:rsidRPr="00DE79CB">
        <w:rPr>
          <w:rFonts w:ascii="Verdana" w:hAnsi="Verdana"/>
          <w:sz w:val="18"/>
          <w:szCs w:val="18"/>
          <w:lang w:val="en-GB"/>
        </w:rPr>
        <w:t xml:space="preserve"> </w:t>
      </w:r>
      <w:r w:rsidRPr="00DE79CB">
        <w:rPr>
          <w:rFonts w:ascii="Verdana" w:hAnsi="Verdana"/>
          <w:sz w:val="18"/>
          <w:szCs w:val="18"/>
          <w:lang w:val="en-GB"/>
        </w:rPr>
        <w:t>to partners, enabling them to carry out activities that contribute to the objectives of the grant programme, including both service provision and dialogue activities.</w:t>
      </w:r>
    </w:p>
    <w:p w14:paraId="46BE268E" w14:textId="06F26F03" w:rsidR="00547286" w:rsidRPr="00DE79CB" w:rsidRDefault="009E1D32" w:rsidP="00655670">
      <w:pPr>
        <w:pStyle w:val="Lijstalinea"/>
        <w:widowControl w:val="0"/>
        <w:numPr>
          <w:ilvl w:val="0"/>
          <w:numId w:val="2"/>
        </w:numPr>
        <w:autoSpaceDE w:val="0"/>
        <w:autoSpaceDN w:val="0"/>
        <w:adjustRightInd w:val="0"/>
        <w:spacing w:after="0" w:line="240" w:lineRule="auto"/>
        <w:rPr>
          <w:rFonts w:ascii="Verdana" w:eastAsia="Verdana" w:hAnsi="Verdana" w:cs="Verdana"/>
          <w:sz w:val="18"/>
          <w:szCs w:val="18"/>
          <w:lang w:val="en-US"/>
        </w:rPr>
      </w:pPr>
      <w:r w:rsidRPr="00DE79CB">
        <w:rPr>
          <w:rFonts w:ascii="Verdana" w:eastAsia="Verdana" w:hAnsi="Verdana" w:cs="Verdana"/>
          <w:i/>
          <w:iCs/>
          <w:sz w:val="18"/>
          <w:szCs w:val="18"/>
          <w:lang w:val="en-GB"/>
        </w:rPr>
        <w:t xml:space="preserve">Gender equality: </w:t>
      </w:r>
      <w:r w:rsidRPr="00DE79CB">
        <w:rPr>
          <w:rFonts w:ascii="Verdana" w:eastAsia="Verdana" w:hAnsi="Verdana" w:cs="Verdana"/>
          <w:sz w:val="18"/>
          <w:szCs w:val="18"/>
          <w:lang w:val="en-GB"/>
        </w:rPr>
        <w:t>the equal status and equal treatment of people irrespective of sex, gender identity or sexual orientation, both in society and under the law.</w:t>
      </w:r>
    </w:p>
    <w:p w14:paraId="7904E526" w14:textId="0013390C" w:rsidR="00547286" w:rsidRPr="00DE79CB" w:rsidRDefault="00547286" w:rsidP="00655670">
      <w:pPr>
        <w:pStyle w:val="Lijstalinea"/>
        <w:widowControl w:val="0"/>
        <w:numPr>
          <w:ilvl w:val="0"/>
          <w:numId w:val="2"/>
        </w:numPr>
        <w:autoSpaceDE w:val="0"/>
        <w:autoSpaceDN w:val="0"/>
        <w:adjustRightInd w:val="0"/>
        <w:spacing w:after="0" w:line="240" w:lineRule="auto"/>
        <w:rPr>
          <w:rFonts w:ascii="Verdana" w:eastAsia="Verdana" w:hAnsi="Verdana" w:cs="Verdana"/>
          <w:sz w:val="18"/>
          <w:szCs w:val="18"/>
          <w:lang w:val="en-US"/>
        </w:rPr>
      </w:pPr>
      <w:r w:rsidRPr="00DE79CB">
        <w:rPr>
          <w:rFonts w:ascii="Verdana" w:eastAsia="Verdana" w:hAnsi="Verdana" w:cs="Verdana"/>
          <w:i/>
          <w:iCs/>
          <w:sz w:val="18"/>
          <w:szCs w:val="18"/>
          <w:lang w:val="en-GB"/>
        </w:rPr>
        <w:t>In-country partner:</w:t>
      </w:r>
      <w:r w:rsidRPr="00DE79CB">
        <w:rPr>
          <w:rFonts w:ascii="Verdana" w:eastAsia="Verdana" w:hAnsi="Verdana" w:cs="Verdana"/>
          <w:sz w:val="18"/>
          <w:szCs w:val="18"/>
          <w:lang w:val="en-GB"/>
        </w:rPr>
        <w:t xml:space="preserve"> A</w:t>
      </w:r>
      <w:r w:rsidR="00774FD5" w:rsidRPr="00DE79CB">
        <w:rPr>
          <w:rFonts w:ascii="Verdana" w:eastAsia="Verdana" w:hAnsi="Verdana" w:cs="Verdana"/>
          <w:sz w:val="18"/>
          <w:szCs w:val="18"/>
          <w:lang w:val="en-GB"/>
        </w:rPr>
        <w:t xml:space="preserve"> local</w:t>
      </w:r>
      <w:r w:rsidRPr="00DE79CB">
        <w:rPr>
          <w:rFonts w:ascii="Verdana" w:eastAsia="Verdana" w:hAnsi="Verdana" w:cs="Verdana"/>
          <w:sz w:val="18"/>
          <w:szCs w:val="18"/>
          <w:lang w:val="en-GB"/>
        </w:rPr>
        <w:t xml:space="preserve"> civil society organisation that, with the support of a</w:t>
      </w:r>
      <w:r w:rsidR="00132542" w:rsidRPr="00DE79CB">
        <w:rPr>
          <w:rFonts w:ascii="Verdana" w:eastAsia="Verdana" w:hAnsi="Verdana" w:cs="Verdana"/>
          <w:sz w:val="18"/>
          <w:szCs w:val="18"/>
          <w:lang w:val="en-GB"/>
        </w:rPr>
        <w:t xml:space="preserve"> grant recipient</w:t>
      </w:r>
      <w:r w:rsidRPr="00DE79CB">
        <w:rPr>
          <w:rFonts w:ascii="Verdana" w:eastAsia="Verdana" w:hAnsi="Verdana" w:cs="Verdana"/>
          <w:sz w:val="18"/>
          <w:szCs w:val="18"/>
          <w:lang w:val="en-GB"/>
        </w:rPr>
        <w:t xml:space="preserve">, carries out activities relevant to the objective of the grant programme, </w:t>
      </w:r>
      <w:r w:rsidR="007D5365" w:rsidRPr="00DE79CB">
        <w:rPr>
          <w:rFonts w:ascii="Verdana" w:eastAsia="Verdana" w:hAnsi="Verdana" w:cs="Verdana"/>
          <w:sz w:val="18"/>
          <w:szCs w:val="18"/>
          <w:lang w:val="en-GB"/>
        </w:rPr>
        <w:t>hence</w:t>
      </w:r>
      <w:r w:rsidRPr="00DE79CB">
        <w:rPr>
          <w:rFonts w:ascii="Verdana" w:eastAsia="Verdana" w:hAnsi="Verdana" w:cs="Verdana"/>
          <w:sz w:val="18"/>
          <w:szCs w:val="18"/>
          <w:lang w:val="en-GB"/>
        </w:rPr>
        <w:t xml:space="preserve"> whose capacities are strengthened by the </w:t>
      </w:r>
      <w:r w:rsidR="00132542" w:rsidRPr="00DE79CB">
        <w:rPr>
          <w:rFonts w:ascii="Verdana" w:eastAsia="Verdana" w:hAnsi="Verdana" w:cs="Verdana"/>
          <w:sz w:val="18"/>
          <w:szCs w:val="18"/>
          <w:lang w:val="en-GB"/>
        </w:rPr>
        <w:t>grant recipient</w:t>
      </w:r>
      <w:r w:rsidRPr="00DE79CB">
        <w:rPr>
          <w:rFonts w:ascii="Verdana" w:eastAsia="Verdana" w:hAnsi="Verdana" w:cs="Verdana"/>
          <w:sz w:val="18"/>
          <w:szCs w:val="18"/>
          <w:lang w:val="en-GB"/>
        </w:rPr>
        <w:t>.</w:t>
      </w:r>
    </w:p>
    <w:p w14:paraId="31C522CF" w14:textId="49AE1C0B" w:rsidR="009E1D32" w:rsidRPr="00DE79CB" w:rsidRDefault="009E1D32" w:rsidP="00655670">
      <w:pPr>
        <w:pStyle w:val="Lijstalinea"/>
        <w:widowControl w:val="0"/>
        <w:numPr>
          <w:ilvl w:val="0"/>
          <w:numId w:val="2"/>
        </w:numPr>
        <w:autoSpaceDE w:val="0"/>
        <w:autoSpaceDN w:val="0"/>
        <w:adjustRightInd w:val="0"/>
        <w:spacing w:after="0" w:line="240" w:lineRule="auto"/>
        <w:rPr>
          <w:rFonts w:ascii="Verdana" w:eastAsia="Verdana" w:hAnsi="Verdana" w:cs="Verdana"/>
          <w:sz w:val="18"/>
          <w:szCs w:val="18"/>
          <w:lang w:val="en-US"/>
        </w:rPr>
      </w:pPr>
      <w:r w:rsidRPr="00DE79CB">
        <w:rPr>
          <w:rFonts w:ascii="Verdana" w:eastAsia="Verdana" w:hAnsi="Verdana" w:cs="Verdana"/>
          <w:i/>
          <w:iCs/>
          <w:sz w:val="18"/>
          <w:szCs w:val="18"/>
          <w:lang w:val="en-GB"/>
        </w:rPr>
        <w:t xml:space="preserve">Locally led development: </w:t>
      </w:r>
      <w:r w:rsidRPr="00DE79CB">
        <w:rPr>
          <w:rFonts w:ascii="Verdana" w:eastAsia="Verdana" w:hAnsi="Verdana" w:cs="Verdana"/>
          <w:sz w:val="18"/>
          <w:szCs w:val="18"/>
          <w:lang w:val="en-GB"/>
        </w:rPr>
        <w:t>Development in which civil society organisations and communities in the target countries themselves set priorities, identify solutions, and implement activities.</w:t>
      </w:r>
    </w:p>
    <w:p w14:paraId="2D070A05" w14:textId="0C00F930" w:rsidR="00EE056E" w:rsidRPr="00DE79CB" w:rsidRDefault="00EE056E" w:rsidP="00655670">
      <w:pPr>
        <w:pStyle w:val="Lijstalinea"/>
        <w:widowControl w:val="0"/>
        <w:numPr>
          <w:ilvl w:val="0"/>
          <w:numId w:val="2"/>
        </w:numPr>
        <w:autoSpaceDE w:val="0"/>
        <w:autoSpaceDN w:val="0"/>
        <w:adjustRightInd w:val="0"/>
        <w:spacing w:after="0" w:line="240" w:lineRule="auto"/>
        <w:rPr>
          <w:rFonts w:ascii="Verdana" w:hAnsi="Verdana" w:cs="Arial"/>
          <w:sz w:val="18"/>
          <w:szCs w:val="18"/>
          <w:lang w:val="en-US"/>
        </w:rPr>
      </w:pPr>
      <w:r w:rsidRPr="00DE79CB">
        <w:rPr>
          <w:rFonts w:ascii="Verdana" w:hAnsi="Verdana"/>
          <w:i/>
          <w:iCs/>
          <w:sz w:val="18"/>
          <w:szCs w:val="18"/>
          <w:lang w:val="en-GB"/>
        </w:rPr>
        <w:t>Local civil society organisation:</w:t>
      </w:r>
      <w:r w:rsidRPr="00DE79CB">
        <w:rPr>
          <w:rFonts w:ascii="Verdana" w:hAnsi="Verdana"/>
          <w:sz w:val="18"/>
          <w:szCs w:val="18"/>
          <w:lang w:val="en-GB"/>
        </w:rPr>
        <w:t xml:space="preserve"> A civil society organisation that is legally established in a target country and is therefore subject to the applicable national or sub-national legislation, operates at national, sub-national or regional level, and whose activities address national or sub-national issues.</w:t>
      </w:r>
    </w:p>
    <w:p w14:paraId="42E0B31D" w14:textId="626D6E1A" w:rsidR="003F6D36" w:rsidRPr="00DE79CB" w:rsidRDefault="133B8E71" w:rsidP="00655670">
      <w:pPr>
        <w:pStyle w:val="Lijstalinea"/>
        <w:widowControl w:val="0"/>
        <w:numPr>
          <w:ilvl w:val="0"/>
          <w:numId w:val="2"/>
        </w:numPr>
        <w:autoSpaceDE w:val="0"/>
        <w:autoSpaceDN w:val="0"/>
        <w:adjustRightInd w:val="0"/>
        <w:spacing w:after="0" w:line="240" w:lineRule="auto"/>
        <w:ind w:left="357" w:hanging="357"/>
        <w:rPr>
          <w:rFonts w:ascii="Verdana" w:hAnsi="Verdana" w:cs="Arial"/>
          <w:sz w:val="18"/>
          <w:szCs w:val="18"/>
          <w:lang w:val="en-US"/>
        </w:rPr>
      </w:pPr>
      <w:r w:rsidRPr="00DE79CB">
        <w:rPr>
          <w:rFonts w:ascii="Verdana" w:eastAsia="Verdana" w:hAnsi="Verdana" w:cs="Verdana"/>
          <w:i/>
          <w:iCs/>
          <w:sz w:val="18"/>
          <w:szCs w:val="18"/>
          <w:lang w:val="en-GB"/>
        </w:rPr>
        <w:t>Civil society organisation</w:t>
      </w:r>
      <w:r w:rsidRPr="00DE79CB">
        <w:rPr>
          <w:rFonts w:ascii="Verdana" w:eastAsia="Verdana" w:hAnsi="Verdana" w:cs="Verdana"/>
          <w:sz w:val="18"/>
          <w:szCs w:val="18"/>
          <w:lang w:val="en-GB"/>
        </w:rPr>
        <w:t>: a not-for-profit organisation not connected to a public authority either de facto or under its constitution, which serves a public interest and possesses legal personality under civil law, and which either was not established by a public authority or has become fully autonomous from the public authority that established it.</w:t>
      </w:r>
    </w:p>
    <w:p w14:paraId="41443C72" w14:textId="73E39B69" w:rsidR="003F6D36" w:rsidRPr="00DE79CB" w:rsidRDefault="003F6D36" w:rsidP="00655670">
      <w:pPr>
        <w:pStyle w:val="Lijstalinea"/>
        <w:numPr>
          <w:ilvl w:val="0"/>
          <w:numId w:val="2"/>
        </w:numPr>
        <w:spacing w:after="0" w:line="240" w:lineRule="auto"/>
        <w:ind w:left="357" w:hanging="357"/>
        <w:rPr>
          <w:rFonts w:ascii="Verdana" w:hAnsi="Verdana"/>
          <w:sz w:val="18"/>
          <w:szCs w:val="18"/>
          <w:lang w:val="en-US"/>
        </w:rPr>
      </w:pPr>
      <w:r w:rsidRPr="00DE79CB">
        <w:rPr>
          <w:rFonts w:ascii="Verdana" w:eastAsia="Verdana" w:hAnsi="Verdana" w:cs="Verdana"/>
          <w:i/>
          <w:iCs/>
          <w:sz w:val="18"/>
          <w:szCs w:val="18"/>
          <w:lang w:val="en-GB"/>
        </w:rPr>
        <w:t>Minister</w:t>
      </w:r>
      <w:r w:rsidRPr="00DE79CB">
        <w:rPr>
          <w:rFonts w:ascii="Verdana" w:eastAsia="Verdana" w:hAnsi="Verdana" w:cs="Verdana"/>
          <w:sz w:val="18"/>
          <w:szCs w:val="18"/>
          <w:lang w:val="en-GB"/>
        </w:rPr>
        <w:t xml:space="preserve">: the Minister of Foreign </w:t>
      </w:r>
      <w:r w:rsidR="00DD45C4" w:rsidRPr="00DE79CB">
        <w:rPr>
          <w:rFonts w:ascii="Verdana" w:eastAsia="Verdana" w:hAnsi="Verdana" w:cs="Verdana"/>
          <w:sz w:val="18"/>
          <w:szCs w:val="18"/>
          <w:lang w:val="en-GB"/>
        </w:rPr>
        <w:t>Trade and Development Cooperation</w:t>
      </w:r>
      <w:r w:rsidRPr="00DE79CB">
        <w:rPr>
          <w:rFonts w:ascii="Verdana" w:eastAsia="Verdana" w:hAnsi="Verdana" w:cs="Verdana"/>
          <w:sz w:val="18"/>
          <w:szCs w:val="18"/>
          <w:lang w:val="en-GB"/>
        </w:rPr>
        <w:t xml:space="preserve">. </w:t>
      </w:r>
      <w:r w:rsidR="000112F5" w:rsidRPr="00DE79CB">
        <w:rPr>
          <w:rFonts w:ascii="Verdana" w:eastAsia="Verdana" w:hAnsi="Verdana" w:cs="Verdana"/>
          <w:sz w:val="18"/>
          <w:szCs w:val="18"/>
          <w:lang w:val="en-GB"/>
        </w:rPr>
        <w:tab/>
      </w:r>
    </w:p>
    <w:p w14:paraId="451619FF" w14:textId="5BCDA6E1" w:rsidR="00074955" w:rsidRPr="00DE79CB" w:rsidRDefault="00074955" w:rsidP="00655670">
      <w:pPr>
        <w:pStyle w:val="Lijstalinea"/>
        <w:numPr>
          <w:ilvl w:val="0"/>
          <w:numId w:val="2"/>
        </w:numPr>
        <w:spacing w:after="0" w:line="240" w:lineRule="auto"/>
        <w:ind w:left="357" w:hanging="357"/>
        <w:rPr>
          <w:rFonts w:ascii="Verdana" w:hAnsi="Verdana"/>
          <w:sz w:val="18"/>
          <w:szCs w:val="18"/>
          <w:lang w:val="en-US"/>
        </w:rPr>
      </w:pPr>
      <w:r w:rsidRPr="00DE79CB">
        <w:rPr>
          <w:rFonts w:ascii="Verdana" w:eastAsia="Verdana" w:hAnsi="Verdana" w:cs="Verdana"/>
          <w:i/>
          <w:iCs/>
          <w:sz w:val="18"/>
          <w:szCs w:val="18"/>
          <w:lang w:val="en-GB"/>
        </w:rPr>
        <w:lastRenderedPageBreak/>
        <w:t xml:space="preserve">OECD Guidelines </w:t>
      </w:r>
      <w:r w:rsidRPr="00DE79CB">
        <w:rPr>
          <w:rStyle w:val="cf01"/>
          <w:rFonts w:ascii="Verdana" w:hAnsi="Verdana" w:cs="Verdana"/>
          <w:lang w:val="en-GB"/>
        </w:rPr>
        <w:t>for Multinational Enterprises</w:t>
      </w:r>
      <w:r w:rsidRPr="00DE79CB">
        <w:rPr>
          <w:rFonts w:ascii="Verdana" w:eastAsia="Verdana" w:hAnsi="Verdana" w:cs="Verdana"/>
          <w:sz w:val="18"/>
          <w:szCs w:val="18"/>
          <w:lang w:val="en-GB"/>
        </w:rPr>
        <w:t xml:space="preserve">: general principles for international business </w:t>
      </w:r>
      <w:r w:rsidR="00F81CAE" w:rsidRPr="00DE79CB">
        <w:rPr>
          <w:rFonts w:ascii="Verdana" w:eastAsia="Verdana" w:hAnsi="Verdana" w:cs="Verdana"/>
          <w:sz w:val="18"/>
          <w:szCs w:val="18"/>
          <w:lang w:val="en-GB"/>
        </w:rPr>
        <w:t xml:space="preserve">of the Organisation for Economic Cooperation and Development </w:t>
      </w:r>
      <w:r w:rsidRPr="00DE79CB">
        <w:rPr>
          <w:rFonts w:ascii="Verdana" w:eastAsia="Verdana" w:hAnsi="Verdana" w:cs="Verdana"/>
          <w:sz w:val="18"/>
          <w:szCs w:val="18"/>
          <w:lang w:val="en-GB"/>
        </w:rPr>
        <w:t>that constitute a key reference point for Dutch policy and international responsible business conduct (hereinafter: OECD guidelines)</w:t>
      </w:r>
      <w:r w:rsidRPr="00DE79CB">
        <w:rPr>
          <w:rStyle w:val="Voetnootmarkering"/>
          <w:rFonts w:ascii="Verdana" w:eastAsia="Verdana" w:hAnsi="Verdana" w:cs="Verdana"/>
          <w:sz w:val="18"/>
          <w:szCs w:val="18"/>
          <w:lang w:val="en-GB"/>
        </w:rPr>
        <w:footnoteReference w:id="12"/>
      </w:r>
      <w:r w:rsidRPr="00DE79CB">
        <w:rPr>
          <w:rFonts w:ascii="Verdana" w:eastAsia="Verdana" w:hAnsi="Verdana" w:cs="Verdana"/>
          <w:sz w:val="18"/>
          <w:szCs w:val="18"/>
          <w:lang w:val="en-GB"/>
        </w:rPr>
        <w:t>.</w:t>
      </w:r>
    </w:p>
    <w:p w14:paraId="254AEADB" w14:textId="1E76EFD9" w:rsidR="001C2203" w:rsidRPr="00DE79CB" w:rsidRDefault="001C2203" w:rsidP="00655670">
      <w:pPr>
        <w:pStyle w:val="Lijstalinea"/>
        <w:numPr>
          <w:ilvl w:val="0"/>
          <w:numId w:val="2"/>
        </w:numPr>
        <w:spacing w:after="0" w:line="240" w:lineRule="auto"/>
        <w:rPr>
          <w:rFonts w:ascii="Verdana" w:hAnsi="Verdana"/>
          <w:sz w:val="18"/>
          <w:szCs w:val="18"/>
          <w:lang w:val="en-US"/>
        </w:rPr>
      </w:pPr>
      <w:r w:rsidRPr="00DE79CB">
        <w:rPr>
          <w:rFonts w:ascii="Verdana" w:eastAsia="Verdana" w:hAnsi="Verdana" w:cs="Verdana"/>
          <w:i/>
          <w:iCs/>
          <w:sz w:val="18"/>
          <w:szCs w:val="18"/>
          <w:lang w:val="en-GB"/>
        </w:rPr>
        <w:t>Partner</w:t>
      </w:r>
      <w:r w:rsidRPr="00DE79CB">
        <w:rPr>
          <w:rFonts w:ascii="Verdana" w:eastAsia="Verdana" w:hAnsi="Verdana" w:cs="Verdana"/>
          <w:sz w:val="18"/>
          <w:szCs w:val="18"/>
          <w:lang w:val="en-GB"/>
        </w:rPr>
        <w:t>s: In-country partners or civil society organisations legally established in the Netherlands that, with the support of a</w:t>
      </w:r>
      <w:r w:rsidR="00132542" w:rsidRPr="00DE79CB">
        <w:rPr>
          <w:rFonts w:ascii="Verdana" w:eastAsia="Verdana" w:hAnsi="Verdana" w:cs="Verdana"/>
          <w:sz w:val="18"/>
          <w:szCs w:val="18"/>
          <w:lang w:val="en-GB"/>
        </w:rPr>
        <w:t xml:space="preserve"> grant recipient</w:t>
      </w:r>
      <w:r w:rsidRPr="00DE79CB">
        <w:rPr>
          <w:rFonts w:ascii="Verdana" w:eastAsia="Verdana" w:hAnsi="Verdana" w:cs="Verdana"/>
          <w:sz w:val="18"/>
          <w:szCs w:val="18"/>
          <w:lang w:val="en-GB"/>
        </w:rPr>
        <w:t>, carry out activities relevant to achieving the objective of the grant programme.</w:t>
      </w:r>
    </w:p>
    <w:p w14:paraId="0444FFE8" w14:textId="2AF7F776" w:rsidR="0003558C" w:rsidRPr="00DE79CB" w:rsidRDefault="0003558C" w:rsidP="00655670">
      <w:pPr>
        <w:pStyle w:val="Lijstalinea"/>
        <w:numPr>
          <w:ilvl w:val="0"/>
          <w:numId w:val="2"/>
        </w:numPr>
        <w:spacing w:after="0" w:line="240" w:lineRule="auto"/>
        <w:rPr>
          <w:rFonts w:ascii="Verdana" w:hAnsi="Verdana"/>
          <w:sz w:val="18"/>
          <w:szCs w:val="18"/>
          <w:lang w:val="en-US"/>
        </w:rPr>
      </w:pPr>
      <w:r w:rsidRPr="00DE79CB">
        <w:rPr>
          <w:rFonts w:ascii="Verdana" w:hAnsi="Verdana"/>
          <w:i/>
          <w:iCs/>
          <w:sz w:val="18"/>
          <w:szCs w:val="18"/>
          <w:lang w:val="en-GB"/>
        </w:rPr>
        <w:t>Primary value chain:</w:t>
      </w:r>
      <w:r w:rsidRPr="00DE79CB">
        <w:rPr>
          <w:rFonts w:ascii="Verdana" w:hAnsi="Verdana"/>
          <w:sz w:val="18"/>
          <w:szCs w:val="18"/>
          <w:lang w:val="en-GB"/>
        </w:rPr>
        <w:t xml:space="preserve"> the main value chain </w:t>
      </w:r>
      <w:r w:rsidR="00DD45C4" w:rsidRPr="00DE79CB">
        <w:rPr>
          <w:rFonts w:ascii="Verdana" w:hAnsi="Verdana"/>
          <w:sz w:val="18"/>
          <w:szCs w:val="18"/>
          <w:lang w:val="en-GB"/>
        </w:rPr>
        <w:t xml:space="preserve">in a project </w:t>
      </w:r>
      <w:r w:rsidRPr="00DE79CB">
        <w:rPr>
          <w:rFonts w:ascii="Verdana" w:hAnsi="Verdana"/>
          <w:sz w:val="18"/>
          <w:szCs w:val="18"/>
          <w:lang w:val="en-GB"/>
        </w:rPr>
        <w:t xml:space="preserve">to which the majority of activities are directed. </w:t>
      </w:r>
    </w:p>
    <w:p w14:paraId="7F42ED5F" w14:textId="0542F07E" w:rsidR="00264026" w:rsidRPr="00DE79CB" w:rsidRDefault="00264026" w:rsidP="00655670">
      <w:pPr>
        <w:pStyle w:val="Lijstalinea"/>
        <w:numPr>
          <w:ilvl w:val="0"/>
          <w:numId w:val="2"/>
        </w:numPr>
        <w:spacing w:after="0" w:line="240" w:lineRule="auto"/>
        <w:rPr>
          <w:rFonts w:ascii="Verdana" w:hAnsi="Verdana"/>
          <w:i/>
          <w:sz w:val="18"/>
          <w:szCs w:val="18"/>
          <w:lang w:val="en-US"/>
        </w:rPr>
      </w:pPr>
      <w:r w:rsidRPr="00DE79CB">
        <w:rPr>
          <w:rFonts w:ascii="Verdana" w:hAnsi="Verdana"/>
          <w:i/>
          <w:iCs/>
          <w:sz w:val="18"/>
          <w:szCs w:val="18"/>
          <w:lang w:val="en-GB"/>
        </w:rPr>
        <w:t xml:space="preserve">Production countries: </w:t>
      </w:r>
      <w:r w:rsidRPr="00DE79CB">
        <w:rPr>
          <w:rFonts w:ascii="Verdana" w:hAnsi="Verdana"/>
          <w:sz w:val="18"/>
          <w:szCs w:val="18"/>
          <w:lang w:val="en-GB"/>
        </w:rPr>
        <w:t>Countries in which goods are produced or raw materials are extracted. For the purposes of this grant programme, this concerns textile production, raw material extraction, and the production of crops and products within the agricultural sector.</w:t>
      </w:r>
    </w:p>
    <w:p w14:paraId="1460DCE6" w14:textId="76D050F4" w:rsidR="005733D6" w:rsidRPr="00DE79CB" w:rsidRDefault="00DD45C4" w:rsidP="00655670">
      <w:pPr>
        <w:pStyle w:val="Lijstalinea"/>
        <w:numPr>
          <w:ilvl w:val="0"/>
          <w:numId w:val="2"/>
        </w:numPr>
        <w:spacing w:after="0" w:line="240" w:lineRule="auto"/>
        <w:rPr>
          <w:rFonts w:ascii="Verdana" w:hAnsi="Verdana"/>
          <w:sz w:val="18"/>
          <w:szCs w:val="18"/>
        </w:rPr>
      </w:pPr>
      <w:r w:rsidRPr="00DE79CB">
        <w:rPr>
          <w:rFonts w:ascii="Verdana" w:hAnsi="Verdana"/>
          <w:i/>
          <w:iCs/>
          <w:sz w:val="18"/>
          <w:szCs w:val="18"/>
          <w:lang w:val="en-US"/>
        </w:rPr>
        <w:t>Grant recipient: applicant whose grant application has been approved under this grant programme.</w:t>
      </w:r>
      <w:r w:rsidR="005733D6" w:rsidRPr="00DE79CB">
        <w:rPr>
          <w:rFonts w:ascii="Verdana" w:hAnsi="Verdana"/>
          <w:i/>
          <w:iCs/>
          <w:sz w:val="18"/>
          <w:szCs w:val="18"/>
          <w:lang w:val="en-GB"/>
        </w:rPr>
        <w:t>Value chain:</w:t>
      </w:r>
      <w:r w:rsidR="005733D6" w:rsidRPr="00DE79CB">
        <w:rPr>
          <w:rFonts w:ascii="Verdana" w:hAnsi="Verdana"/>
          <w:sz w:val="18"/>
          <w:szCs w:val="18"/>
          <w:lang w:val="en-GB"/>
        </w:rPr>
        <w:t xml:space="preserve"> All activities carried out by enterprises to bring a product or service from conception to final use. A value chain typically begins with the extraction or cultivation of raw materials, followed by the production of intermediate or final products, and ends with consumption by the end user. Value chains usually involve multiple enterprises, called links. </w:t>
      </w:r>
    </w:p>
    <w:p w14:paraId="56741826" w14:textId="77777777" w:rsidR="003C602E" w:rsidRPr="00DE79CB" w:rsidRDefault="003C602E" w:rsidP="00655670">
      <w:pPr>
        <w:pStyle w:val="Lijstalinea"/>
        <w:spacing w:after="0" w:line="240" w:lineRule="auto"/>
        <w:ind w:left="360"/>
        <w:rPr>
          <w:rFonts w:ascii="Verdana" w:hAnsi="Verdana"/>
          <w:sz w:val="18"/>
          <w:szCs w:val="18"/>
        </w:rPr>
      </w:pPr>
    </w:p>
    <w:p w14:paraId="674A865D" w14:textId="7D8458F8" w:rsidR="00DC68D0" w:rsidRPr="00DE79CB" w:rsidRDefault="00900967" w:rsidP="00655670">
      <w:pPr>
        <w:pStyle w:val="Lijstalinea"/>
        <w:numPr>
          <w:ilvl w:val="0"/>
          <w:numId w:val="3"/>
        </w:numPr>
        <w:spacing w:after="0" w:line="240" w:lineRule="auto"/>
        <w:rPr>
          <w:rFonts w:ascii="Verdana" w:hAnsi="Verdana"/>
          <w:b/>
          <w:bCs/>
          <w:sz w:val="18"/>
          <w:szCs w:val="18"/>
          <w:lang w:val="en-US"/>
        </w:rPr>
      </w:pPr>
      <w:r w:rsidRPr="00DE79CB">
        <w:rPr>
          <w:rFonts w:ascii="Verdana" w:eastAsia="Verdana" w:hAnsi="Verdana" w:cs="Verdana"/>
          <w:b/>
          <w:bCs/>
          <w:sz w:val="18"/>
          <w:szCs w:val="18"/>
          <w:lang w:val="en-GB"/>
        </w:rPr>
        <w:t>Fair Focus on Trade grant programme</w:t>
      </w:r>
    </w:p>
    <w:p w14:paraId="5A9DCCE0" w14:textId="77777777" w:rsidR="007544C7" w:rsidRPr="00DE79CB" w:rsidRDefault="007544C7" w:rsidP="00655670">
      <w:pPr>
        <w:spacing w:after="0" w:line="240" w:lineRule="auto"/>
        <w:rPr>
          <w:rFonts w:ascii="Verdana" w:eastAsia="Verdana" w:hAnsi="Verdana" w:cs="Verdana"/>
          <w:b/>
          <w:bCs/>
          <w:sz w:val="18"/>
          <w:szCs w:val="18"/>
          <w:lang w:val="en-US"/>
        </w:rPr>
      </w:pPr>
    </w:p>
    <w:p w14:paraId="58166820" w14:textId="43EDDE0F" w:rsidR="00DC68D0" w:rsidRPr="00DE79CB" w:rsidRDefault="46385DA7" w:rsidP="00655670">
      <w:pPr>
        <w:pStyle w:val="Kop4"/>
        <w:spacing w:before="0" w:line="240" w:lineRule="auto"/>
        <w:rPr>
          <w:rFonts w:ascii="Verdana" w:eastAsia="Verdana" w:hAnsi="Verdana" w:cs="Verdana"/>
          <w:sz w:val="18"/>
          <w:szCs w:val="18"/>
          <w:lang w:val="en-US"/>
        </w:rPr>
      </w:pPr>
      <w:r w:rsidRPr="00DE79CB">
        <w:rPr>
          <w:rFonts w:ascii="Verdana" w:eastAsia="Verdana" w:hAnsi="Verdana" w:cs="Verdana"/>
          <w:color w:val="auto"/>
          <w:sz w:val="18"/>
          <w:szCs w:val="18"/>
          <w:lang w:val="en-GB"/>
        </w:rPr>
        <w:t>4.1 Policy principles, purpose, sectors and target countries and themes</w:t>
      </w:r>
    </w:p>
    <w:p w14:paraId="3B42198F" w14:textId="77777777" w:rsidR="005451E6" w:rsidRPr="00DE79CB" w:rsidRDefault="005451E6" w:rsidP="00655670">
      <w:pPr>
        <w:pStyle w:val="Normaalweb"/>
        <w:spacing w:before="0" w:beforeAutospacing="0" w:after="0" w:afterAutospacing="0"/>
        <w:rPr>
          <w:rStyle w:val="cf01"/>
          <w:rFonts w:ascii="Verdana" w:hAnsi="Verdana" w:cs="Verdana"/>
          <w:u w:val="single"/>
          <w:lang w:val="en-US"/>
        </w:rPr>
      </w:pPr>
    </w:p>
    <w:p w14:paraId="5354E84A" w14:textId="255FD9C3" w:rsidR="00A5183D" w:rsidRPr="00DE79CB" w:rsidRDefault="00DD45C4" w:rsidP="00655670">
      <w:pPr>
        <w:pStyle w:val="Normaalweb"/>
        <w:spacing w:before="0" w:beforeAutospacing="0" w:after="0" w:afterAutospacing="0"/>
        <w:rPr>
          <w:rFonts w:ascii="Verdana" w:hAnsi="Verdana"/>
          <w:color w:val="000000"/>
          <w:sz w:val="18"/>
          <w:szCs w:val="18"/>
        </w:rPr>
      </w:pPr>
      <w:r w:rsidRPr="00DE79CB">
        <w:rPr>
          <w:rStyle w:val="cf01"/>
          <w:rFonts w:ascii="Verdana" w:hAnsi="Verdana" w:cs="Verdana"/>
          <w:u w:val="single"/>
          <w:lang w:val="en-GB"/>
        </w:rPr>
        <w:t xml:space="preserve">4.1.1 </w:t>
      </w:r>
      <w:r w:rsidR="00A5183D" w:rsidRPr="00DE79CB">
        <w:rPr>
          <w:rStyle w:val="cf01"/>
          <w:rFonts w:ascii="Verdana" w:hAnsi="Verdana" w:cs="Verdana"/>
          <w:u w:val="single"/>
          <w:lang w:val="en-GB"/>
        </w:rPr>
        <w:t>Policy principles</w:t>
      </w:r>
      <w:r w:rsidR="00A5183D" w:rsidRPr="00DE79CB">
        <w:rPr>
          <w:rFonts w:ascii="Verdana" w:hAnsi="Verdana"/>
          <w:color w:val="000000"/>
          <w:sz w:val="18"/>
          <w:szCs w:val="18"/>
          <w:lang w:val="en-GB"/>
        </w:rPr>
        <w:t xml:space="preserve"> </w:t>
      </w:r>
      <w:r w:rsidR="00A5183D" w:rsidRPr="00DE79CB">
        <w:rPr>
          <w:rFonts w:ascii="Verdana" w:hAnsi="Verdana"/>
          <w:color w:val="000000"/>
          <w:sz w:val="18"/>
          <w:szCs w:val="18"/>
          <w:lang w:val="en-GB"/>
        </w:rPr>
        <w:br/>
        <w:t>All Focus instruments are subject to the same policy principles. These principles serve as the frame of reference for the requirements and assessment criteria used in the selection of applications, as well as for the design of the activities to be developed and implemented by applicants. The policy principles are as follows:</w:t>
      </w:r>
    </w:p>
    <w:p w14:paraId="0638F1EE" w14:textId="77777777" w:rsidR="005451E6" w:rsidRPr="00DE79CB" w:rsidRDefault="005451E6" w:rsidP="00655670">
      <w:pPr>
        <w:pStyle w:val="Normaalweb"/>
        <w:spacing w:before="0" w:beforeAutospacing="0" w:after="0" w:afterAutospacing="0"/>
        <w:rPr>
          <w:rFonts w:ascii="Verdana" w:hAnsi="Verdana"/>
          <w:color w:val="000000"/>
          <w:sz w:val="18"/>
          <w:szCs w:val="18"/>
        </w:rPr>
      </w:pPr>
    </w:p>
    <w:p w14:paraId="57C7D010" w14:textId="49029A1A" w:rsidR="00A5183D" w:rsidRPr="00DE79CB" w:rsidRDefault="006D1BB9" w:rsidP="00655670">
      <w:pPr>
        <w:pStyle w:val="Normaalweb"/>
        <w:numPr>
          <w:ilvl w:val="0"/>
          <w:numId w:val="2"/>
        </w:numPr>
        <w:spacing w:before="0" w:beforeAutospacing="0" w:after="0" w:afterAutospacing="0"/>
        <w:rPr>
          <w:rFonts w:ascii="Verdana" w:hAnsi="Verdana"/>
          <w:color w:val="000000"/>
          <w:sz w:val="18"/>
          <w:szCs w:val="18"/>
        </w:rPr>
      </w:pPr>
      <w:r w:rsidRPr="00DE79CB">
        <w:rPr>
          <w:rFonts w:ascii="Verdana" w:hAnsi="Verdana"/>
          <w:i/>
          <w:iCs/>
          <w:color w:val="000000"/>
          <w:sz w:val="18"/>
          <w:szCs w:val="18"/>
          <w:lang w:val="en-GB"/>
        </w:rPr>
        <w:t xml:space="preserve">Capacity </w:t>
      </w:r>
      <w:r w:rsidR="00D30BE4" w:rsidRPr="00DE79CB">
        <w:rPr>
          <w:rFonts w:ascii="Verdana" w:hAnsi="Verdana"/>
          <w:i/>
          <w:iCs/>
          <w:color w:val="000000"/>
          <w:sz w:val="18"/>
          <w:szCs w:val="18"/>
          <w:lang w:val="en-GB"/>
        </w:rPr>
        <w:t>strengthening</w:t>
      </w:r>
      <w:r w:rsidRPr="00DE79CB">
        <w:rPr>
          <w:rFonts w:ascii="Verdana" w:hAnsi="Verdana"/>
          <w:color w:val="000000"/>
          <w:sz w:val="18"/>
          <w:szCs w:val="18"/>
          <w:lang w:val="en-GB"/>
        </w:rPr>
        <w:t xml:space="preserve">: Enhancing the skills, knowledge, and </w:t>
      </w:r>
      <w:r w:rsidRPr="00DE79CB">
        <w:rPr>
          <w:rStyle w:val="Verwijzingopmerking"/>
          <w:rFonts w:ascii="Verdana" w:eastAsia="Verdana" w:hAnsi="Verdana" w:cs="Verdana"/>
          <w:sz w:val="18"/>
          <w:szCs w:val="18"/>
          <w:lang w:val="en-GB"/>
        </w:rPr>
        <w:t>network</w:t>
      </w:r>
      <w:r w:rsidRPr="00DE79CB">
        <w:rPr>
          <w:rFonts w:ascii="Verdana" w:hAnsi="Verdana"/>
          <w:color w:val="000000"/>
          <w:sz w:val="18"/>
          <w:szCs w:val="18"/>
          <w:lang w:val="en-GB"/>
        </w:rPr>
        <w:t xml:space="preserve"> of in-country partners helps improve both the effectiveness and efficiency of development initiatives and is therefore a key element of this grant programme. Capacity building can take place in various domains, such as project management, financial management, or thematic work in the field of dialogue or service provision, for example protection of vulnerable groups. It may be achieved through training, coaching or knowledge exchange, with existing local capacity serving as the starting point where possible. This approach is essential to fostering local ownership.</w:t>
      </w:r>
    </w:p>
    <w:p w14:paraId="447E0856" w14:textId="6C81D49C" w:rsidR="00A5183D" w:rsidRPr="00DE79CB" w:rsidRDefault="00A5183D" w:rsidP="00655670">
      <w:pPr>
        <w:pStyle w:val="Normaalweb"/>
        <w:numPr>
          <w:ilvl w:val="0"/>
          <w:numId w:val="2"/>
        </w:numPr>
        <w:spacing w:before="0" w:beforeAutospacing="0" w:after="0" w:afterAutospacing="0"/>
        <w:rPr>
          <w:rFonts w:ascii="Verdana" w:hAnsi="Verdana"/>
          <w:color w:val="000000"/>
          <w:sz w:val="18"/>
          <w:szCs w:val="18"/>
          <w:lang w:val="en-US"/>
        </w:rPr>
      </w:pPr>
      <w:r w:rsidRPr="00DE79CB">
        <w:rPr>
          <w:rFonts w:ascii="Verdana" w:hAnsi="Verdana"/>
          <w:i/>
          <w:iCs/>
          <w:color w:val="000000"/>
          <w:sz w:val="18"/>
          <w:szCs w:val="18"/>
          <w:lang w:val="en-GB"/>
        </w:rPr>
        <w:t>Locally led development:</w:t>
      </w:r>
      <w:r w:rsidRPr="00DE79CB">
        <w:rPr>
          <w:rFonts w:ascii="Verdana" w:hAnsi="Verdana"/>
          <w:color w:val="000000"/>
          <w:sz w:val="18"/>
          <w:szCs w:val="18"/>
          <w:lang w:val="en-GB"/>
        </w:rPr>
        <w:t xml:space="preserve"> A guiding principle of the Focus framework is to promote and enhance local ownership within development cooperation. In the OECD DAC understanding, this means that local actors themselves decide on the design and implementation of development initiatives, while international donors and external partners, including Dutch civil society organisations, play a supportive role in addressing the societal challenges faced by local communities. Such support may include financial contributions provided by the </w:t>
      </w:r>
      <w:r w:rsidR="00D30BE4" w:rsidRPr="00DE79CB">
        <w:rPr>
          <w:rFonts w:ascii="Verdana" w:hAnsi="Verdana"/>
          <w:color w:val="000000"/>
          <w:sz w:val="18"/>
          <w:szCs w:val="18"/>
          <w:lang w:val="en-GB"/>
        </w:rPr>
        <w:t>grant recipient</w:t>
      </w:r>
      <w:r w:rsidRPr="00DE79CB">
        <w:rPr>
          <w:rFonts w:ascii="Verdana" w:hAnsi="Verdana"/>
          <w:color w:val="000000"/>
          <w:sz w:val="18"/>
          <w:szCs w:val="18"/>
          <w:lang w:val="en-GB"/>
        </w:rPr>
        <w:t>, capacity building related to the work of in-country partners, facilitating knowledge exchange among in-country partners, or providing access to technological innovations and scientific insights.</w:t>
      </w:r>
    </w:p>
    <w:p w14:paraId="38C6A0D6" w14:textId="5AB88175" w:rsidR="00D75451" w:rsidRPr="00DE79CB" w:rsidRDefault="00A5183D" w:rsidP="00655670">
      <w:pPr>
        <w:pStyle w:val="Normaalweb"/>
        <w:numPr>
          <w:ilvl w:val="0"/>
          <w:numId w:val="2"/>
        </w:numPr>
        <w:spacing w:before="0" w:beforeAutospacing="0" w:after="0" w:afterAutospacing="0"/>
        <w:rPr>
          <w:rFonts w:ascii="Verdana" w:hAnsi="Verdana"/>
          <w:color w:val="000000"/>
          <w:sz w:val="18"/>
          <w:szCs w:val="18"/>
          <w:lang w:val="en-US"/>
        </w:rPr>
      </w:pPr>
      <w:r w:rsidRPr="00DE79CB">
        <w:rPr>
          <w:rFonts w:ascii="Verdana" w:hAnsi="Verdana"/>
          <w:i/>
          <w:iCs/>
          <w:color w:val="000000"/>
          <w:sz w:val="18"/>
          <w:szCs w:val="18"/>
          <w:lang w:val="en-GB"/>
        </w:rPr>
        <w:t>Gender equality</w:t>
      </w:r>
      <w:r w:rsidRPr="00DE79CB">
        <w:rPr>
          <w:rFonts w:ascii="Verdana" w:hAnsi="Verdana"/>
          <w:color w:val="000000"/>
          <w:sz w:val="18"/>
          <w:szCs w:val="18"/>
          <w:lang w:val="en-GB"/>
        </w:rPr>
        <w:t xml:space="preserve">: All eight Focus instruments serve to promote gender equality with a view to enhancing the social and economic resilience of communities and strengthening the effectiveness and relevance of development cooperation. To qualify for a grant under this programme, applications must therefore achieve a score of 1 on the OECD DAC gender equality policy marker, meaning that gender equality constitutes a significant objective of the project. </w:t>
      </w:r>
    </w:p>
    <w:p w14:paraId="1CF13236" w14:textId="5F555E6B" w:rsidR="00D75451" w:rsidRPr="00DE79CB" w:rsidRDefault="00A5183D" w:rsidP="00655670">
      <w:pPr>
        <w:pStyle w:val="Normaalweb"/>
        <w:numPr>
          <w:ilvl w:val="0"/>
          <w:numId w:val="2"/>
        </w:numPr>
        <w:spacing w:before="0" w:beforeAutospacing="0" w:after="0" w:afterAutospacing="0"/>
        <w:rPr>
          <w:rFonts w:ascii="Verdana" w:hAnsi="Verdana"/>
          <w:color w:val="000000"/>
          <w:sz w:val="18"/>
          <w:szCs w:val="18"/>
          <w:lang w:val="en-US"/>
        </w:rPr>
      </w:pPr>
      <w:r w:rsidRPr="00DE79CB">
        <w:rPr>
          <w:rFonts w:ascii="Verdana" w:hAnsi="Verdana"/>
          <w:i/>
          <w:iCs/>
          <w:color w:val="000000"/>
          <w:sz w:val="18"/>
          <w:szCs w:val="18"/>
          <w:lang w:val="en-GB"/>
        </w:rPr>
        <w:t>Climate</w:t>
      </w:r>
      <w:r w:rsidRPr="00DE79CB">
        <w:rPr>
          <w:rFonts w:ascii="Verdana" w:hAnsi="Verdana"/>
          <w:color w:val="000000"/>
          <w:sz w:val="18"/>
          <w:szCs w:val="18"/>
          <w:lang w:val="en-GB"/>
        </w:rPr>
        <w:t xml:space="preserve"> is integral to the objectives of the grant programme</w:t>
      </w:r>
      <w:r w:rsidR="00D30BE4" w:rsidRPr="00DE79CB">
        <w:rPr>
          <w:rFonts w:ascii="Verdana" w:hAnsi="Verdana"/>
          <w:color w:val="000000"/>
          <w:sz w:val="18"/>
          <w:szCs w:val="18"/>
          <w:lang w:val="en-GB"/>
        </w:rPr>
        <w:t xml:space="preserve">, please </w:t>
      </w:r>
      <w:r w:rsidR="003C297D" w:rsidRPr="00DE79CB">
        <w:rPr>
          <w:rFonts w:ascii="Verdana" w:hAnsi="Verdana"/>
          <w:color w:val="000000"/>
          <w:sz w:val="18"/>
          <w:szCs w:val="18"/>
          <w:lang w:val="en-GB"/>
        </w:rPr>
        <w:t xml:space="preserve">see </w:t>
      </w:r>
      <w:r w:rsidR="00D30BE4" w:rsidRPr="00DE79CB">
        <w:rPr>
          <w:rFonts w:ascii="Verdana" w:hAnsi="Verdana"/>
          <w:color w:val="000000"/>
          <w:sz w:val="18"/>
          <w:szCs w:val="18"/>
          <w:lang w:val="en-GB"/>
        </w:rPr>
        <w:t>the elaboration in appendix 2 concerning ‘people, planet, profit’</w:t>
      </w:r>
      <w:r w:rsidRPr="00DE79CB">
        <w:rPr>
          <w:rFonts w:ascii="Verdana" w:hAnsi="Verdana"/>
          <w:color w:val="000000"/>
          <w:sz w:val="18"/>
          <w:szCs w:val="18"/>
          <w:lang w:val="en-GB"/>
        </w:rPr>
        <w:t>.</w:t>
      </w:r>
    </w:p>
    <w:p w14:paraId="1C856530" w14:textId="5EEBC83F" w:rsidR="00D75451" w:rsidRPr="00DE79CB" w:rsidRDefault="00A5183D" w:rsidP="00655670">
      <w:pPr>
        <w:pStyle w:val="Normaalweb"/>
        <w:numPr>
          <w:ilvl w:val="0"/>
          <w:numId w:val="2"/>
        </w:numPr>
        <w:spacing w:before="0" w:beforeAutospacing="0" w:after="0" w:afterAutospacing="0"/>
        <w:rPr>
          <w:rFonts w:ascii="Verdana" w:hAnsi="Verdana"/>
          <w:color w:val="000000"/>
          <w:sz w:val="18"/>
          <w:szCs w:val="18"/>
          <w:lang w:val="en-US"/>
        </w:rPr>
      </w:pPr>
      <w:r w:rsidRPr="00DE79CB">
        <w:rPr>
          <w:rFonts w:ascii="Verdana" w:hAnsi="Verdana"/>
          <w:i/>
          <w:iCs/>
          <w:color w:val="000000"/>
          <w:sz w:val="18"/>
          <w:szCs w:val="18"/>
          <w:lang w:val="en-GB"/>
        </w:rPr>
        <w:t>Conflict sensitivity</w:t>
      </w:r>
      <w:r w:rsidRPr="00DE79CB">
        <w:rPr>
          <w:rFonts w:ascii="Verdana" w:hAnsi="Verdana"/>
          <w:color w:val="000000"/>
          <w:sz w:val="18"/>
          <w:szCs w:val="18"/>
          <w:lang w:val="en-GB"/>
        </w:rPr>
        <w:t xml:space="preserve">: It is a key concern of the Minister that activities funded under this grant programme do not contribute to the escalation of conflict. All activities must therefore take account of the context in which they are implemented. Activities should be designed to avoid or minimise negative impacts and unintended effects, while actively seeking to positively improve conflict dynamics and foster opportunities for peace, inclusion and social cohesion. Risks relating to conflict dynamics must be identified as part of the contextual analysis. This requires the ability to: (i) analyse and understand the operational environment in which activities take place; (ii) translate this understanding into practical implications for implementation and interaction with local actors; and (iii) integrate conflict sensitivity throughout the entire activity cycle and update it as circumstances change. Given the importance the Minister attaches to </w:t>
      </w:r>
      <w:r w:rsidRPr="00DE79CB">
        <w:rPr>
          <w:rFonts w:ascii="Verdana" w:hAnsi="Verdana"/>
          <w:color w:val="000000"/>
          <w:sz w:val="18"/>
          <w:szCs w:val="18"/>
          <w:lang w:val="en-GB"/>
        </w:rPr>
        <w:lastRenderedPageBreak/>
        <w:t>mental health and psychosocial support in fragile states and conflict-affected areas, conflict sensitivity also encompasses diligent analysis of mental health and psychosocial dimensions and dynamics of the work, as well as the contexts in which activities take place.</w:t>
      </w:r>
    </w:p>
    <w:p w14:paraId="7528E2AF" w14:textId="1D23CBC8" w:rsidR="00A5183D" w:rsidRPr="00DE79CB" w:rsidRDefault="00A5183D" w:rsidP="00655670">
      <w:pPr>
        <w:pStyle w:val="Normaalweb"/>
        <w:numPr>
          <w:ilvl w:val="0"/>
          <w:numId w:val="2"/>
        </w:numPr>
        <w:spacing w:before="0" w:beforeAutospacing="0" w:after="0" w:afterAutospacing="0"/>
        <w:rPr>
          <w:rFonts w:ascii="Verdana" w:hAnsi="Verdana"/>
          <w:color w:val="000000"/>
          <w:sz w:val="18"/>
          <w:szCs w:val="18"/>
          <w:lang w:val="en-US"/>
        </w:rPr>
      </w:pPr>
      <w:r w:rsidRPr="00DE79CB">
        <w:rPr>
          <w:rFonts w:ascii="Verdana" w:hAnsi="Verdana"/>
          <w:i/>
          <w:iCs/>
          <w:color w:val="000000"/>
          <w:sz w:val="18"/>
          <w:szCs w:val="18"/>
          <w:lang w:val="en-GB"/>
        </w:rPr>
        <w:t xml:space="preserve">Do no harm: </w:t>
      </w:r>
      <w:r w:rsidRPr="00DE79CB">
        <w:rPr>
          <w:rFonts w:ascii="Verdana" w:hAnsi="Verdana"/>
          <w:color w:val="000000"/>
          <w:sz w:val="18"/>
          <w:szCs w:val="18"/>
          <w:lang w:val="en-GB"/>
        </w:rPr>
        <w:t xml:space="preserve">The do-no-harm principle is closely linked to conflict sensitivity: activities </w:t>
      </w:r>
      <w:r w:rsidR="00D30BE4" w:rsidRPr="00DE79CB">
        <w:rPr>
          <w:rFonts w:ascii="Verdana" w:hAnsi="Verdana"/>
          <w:color w:val="000000"/>
          <w:sz w:val="18"/>
          <w:szCs w:val="18"/>
          <w:lang w:val="en-GB"/>
        </w:rPr>
        <w:t xml:space="preserve">for which a grant is awarded </w:t>
      </w:r>
      <w:r w:rsidRPr="00DE79CB">
        <w:rPr>
          <w:rFonts w:ascii="Verdana" w:hAnsi="Verdana"/>
          <w:color w:val="000000"/>
          <w:sz w:val="18"/>
          <w:szCs w:val="18"/>
          <w:lang w:val="en-GB"/>
        </w:rPr>
        <w:t xml:space="preserve">under this </w:t>
      </w:r>
      <w:r w:rsidR="00DD45C4" w:rsidRPr="00DE79CB">
        <w:rPr>
          <w:rFonts w:ascii="Verdana" w:hAnsi="Verdana"/>
          <w:color w:val="000000"/>
          <w:sz w:val="18"/>
          <w:szCs w:val="18"/>
          <w:lang w:val="en-GB"/>
        </w:rPr>
        <w:t>grant programme</w:t>
      </w:r>
      <w:r w:rsidRPr="00DE79CB">
        <w:rPr>
          <w:rFonts w:ascii="Verdana" w:hAnsi="Verdana"/>
          <w:color w:val="000000"/>
          <w:sz w:val="18"/>
          <w:szCs w:val="18"/>
          <w:lang w:val="en-GB"/>
        </w:rPr>
        <w:t xml:space="preserve"> must not have adverse effects on local populations, social relations or broader development goals. Grant recipients are therefore required to identify potential risks at an early stage and take appropriate measures to prevent or mitigate any harmful consequences.</w:t>
      </w:r>
    </w:p>
    <w:p w14:paraId="672CB419" w14:textId="77777777" w:rsidR="005451E6" w:rsidRPr="00DE79CB" w:rsidRDefault="005451E6" w:rsidP="00655670">
      <w:pPr>
        <w:pStyle w:val="TableParagraph"/>
        <w:ind w:left="0" w:right="100"/>
        <w:rPr>
          <w:rStyle w:val="cf01"/>
          <w:rFonts w:ascii="Verdana" w:hAnsi="Verdana" w:cs="Verdana"/>
          <w:u w:val="single"/>
          <w:lang w:val="en-US"/>
        </w:rPr>
      </w:pPr>
    </w:p>
    <w:p w14:paraId="7D5E23F0" w14:textId="5DEBC888" w:rsidR="007544C7" w:rsidRPr="00DE79CB" w:rsidRDefault="00DD45C4" w:rsidP="00655670">
      <w:pPr>
        <w:pStyle w:val="TableParagraph"/>
        <w:ind w:left="0" w:right="100"/>
        <w:rPr>
          <w:rStyle w:val="cf01"/>
          <w:rFonts w:ascii="Verdana" w:hAnsi="Verdana" w:cs="Verdana"/>
          <w:u w:val="single"/>
          <w:lang w:val="en-US"/>
        </w:rPr>
      </w:pPr>
      <w:r w:rsidRPr="00DE79CB">
        <w:rPr>
          <w:rStyle w:val="cf01"/>
          <w:rFonts w:ascii="Verdana" w:hAnsi="Verdana" w:cs="Verdana"/>
          <w:u w:val="single"/>
          <w:lang w:val="en-GB"/>
        </w:rPr>
        <w:t xml:space="preserve">4.1.2 </w:t>
      </w:r>
      <w:r w:rsidR="007544C7" w:rsidRPr="00DE79CB">
        <w:rPr>
          <w:rStyle w:val="cf01"/>
          <w:rFonts w:ascii="Verdana" w:hAnsi="Verdana" w:cs="Verdana"/>
          <w:u w:val="single"/>
          <w:lang w:val="en-GB"/>
        </w:rPr>
        <w:t>Objective</w:t>
      </w:r>
    </w:p>
    <w:p w14:paraId="65B17CC1" w14:textId="773A5BC6" w:rsidR="00420543" w:rsidRPr="00DE79CB" w:rsidRDefault="007B698F" w:rsidP="00655670">
      <w:pPr>
        <w:pStyle w:val="TableParagraph"/>
        <w:ind w:left="0" w:right="100"/>
        <w:rPr>
          <w:rStyle w:val="cf01"/>
          <w:rFonts w:ascii="Verdana" w:hAnsi="Verdana" w:cs="Verdana"/>
          <w:lang w:val="en-US"/>
        </w:rPr>
      </w:pPr>
      <w:bookmarkStart w:id="8" w:name="_Hlk216346484"/>
      <w:r w:rsidRPr="00DE79CB">
        <w:rPr>
          <w:rStyle w:val="cf01"/>
          <w:rFonts w:ascii="Verdana" w:hAnsi="Verdana" w:cs="Verdana"/>
          <w:lang w:val="en-GB"/>
        </w:rPr>
        <w:t xml:space="preserve">The objective of the Grant Programme Fair Focus on Trade is to promote </w:t>
      </w:r>
      <w:r w:rsidR="00487EC6" w:rsidRPr="00DE79CB">
        <w:rPr>
          <w:rStyle w:val="cf01"/>
          <w:rFonts w:ascii="Verdana" w:hAnsi="Verdana" w:cs="Verdana"/>
          <w:lang w:val="en-GB"/>
        </w:rPr>
        <w:t xml:space="preserve">sustainable </w:t>
      </w:r>
      <w:r w:rsidRPr="00DE79CB">
        <w:rPr>
          <w:rStyle w:val="cf01"/>
          <w:rFonts w:ascii="Verdana" w:hAnsi="Verdana" w:cs="Verdana"/>
          <w:lang w:val="en-GB"/>
        </w:rPr>
        <w:t xml:space="preserve">and fair trade by strengthening local civil society organisations </w:t>
      </w:r>
      <w:r w:rsidRPr="00DE79CB">
        <w:rPr>
          <w:sz w:val="18"/>
          <w:szCs w:val="18"/>
          <w:lang w:val="en-GB"/>
        </w:rPr>
        <w:t xml:space="preserve">so that they are able to provide services and engage in dialogue that contribute to this objective. </w:t>
      </w:r>
      <w:r w:rsidRPr="00DE79CB">
        <w:rPr>
          <w:rStyle w:val="cf01"/>
          <w:rFonts w:ascii="Verdana" w:hAnsi="Verdana" w:cs="Verdana"/>
          <w:lang w:val="en-GB"/>
        </w:rPr>
        <w:t xml:space="preserve">Crucially, activities must involve value chains that are relevant to the Netherlands </w:t>
      </w:r>
      <w:r w:rsidR="00DD45C4" w:rsidRPr="00DE79CB">
        <w:rPr>
          <w:rStyle w:val="cf01"/>
          <w:rFonts w:ascii="Verdana" w:hAnsi="Verdana" w:cs="Verdana"/>
          <w:lang w:val="en-GB"/>
        </w:rPr>
        <w:t xml:space="preserve">and Europe </w:t>
      </w:r>
      <w:r w:rsidRPr="00DE79CB">
        <w:rPr>
          <w:rStyle w:val="cf01"/>
          <w:rFonts w:ascii="Verdana" w:hAnsi="Verdana" w:cs="Verdana"/>
          <w:lang w:val="en-GB"/>
        </w:rPr>
        <w:t xml:space="preserve">in order to maximise local impact </w:t>
      </w:r>
      <w:r w:rsidR="00DD45C4" w:rsidRPr="00DE79CB">
        <w:rPr>
          <w:rStyle w:val="cf01"/>
          <w:rFonts w:ascii="Verdana" w:hAnsi="Verdana" w:cs="Verdana"/>
          <w:lang w:val="en-GB"/>
        </w:rPr>
        <w:t xml:space="preserve">(see paragraph 1) while also creating a potential positive effect on the implementation of RBC-related legislation and regulations. </w:t>
      </w:r>
      <w:r w:rsidRPr="00DE79CB">
        <w:rPr>
          <w:rStyle w:val="cf01"/>
          <w:rFonts w:ascii="Verdana" w:hAnsi="Verdana" w:cs="Verdana"/>
          <w:lang w:val="en-GB"/>
        </w:rPr>
        <w:t xml:space="preserve">This approach strengthens local earning and investment capacity, increases the resilience of value chains and supports a reliable to the Netherlands of products that </w:t>
      </w:r>
      <w:r w:rsidR="00457D06" w:rsidRPr="00DE79CB">
        <w:rPr>
          <w:rStyle w:val="cf01"/>
          <w:rFonts w:ascii="Verdana" w:hAnsi="Verdana" w:cs="Verdana"/>
          <w:lang w:val="en-GB"/>
        </w:rPr>
        <w:t xml:space="preserve">have been produced in compliance with </w:t>
      </w:r>
      <w:r w:rsidRPr="00DE79CB">
        <w:rPr>
          <w:rStyle w:val="cf01"/>
          <w:rFonts w:ascii="Verdana" w:hAnsi="Verdana" w:cs="Verdana"/>
          <w:lang w:val="en-GB"/>
        </w:rPr>
        <w:t xml:space="preserve"> international standards on responsible business conduct. </w:t>
      </w:r>
    </w:p>
    <w:bookmarkEnd w:id="8"/>
    <w:p w14:paraId="171F8EA7" w14:textId="77777777" w:rsidR="00420543" w:rsidRPr="00DE79CB" w:rsidRDefault="00420543" w:rsidP="00655670">
      <w:pPr>
        <w:pStyle w:val="TableParagraph"/>
        <w:ind w:left="0" w:right="102"/>
        <w:rPr>
          <w:rStyle w:val="cf01"/>
          <w:rFonts w:ascii="Verdana" w:hAnsi="Verdana" w:cs="Verdana"/>
          <w:lang w:val="en-US"/>
        </w:rPr>
      </w:pPr>
    </w:p>
    <w:p w14:paraId="2409369C" w14:textId="7C222AD9" w:rsidR="007B698F" w:rsidRPr="00DE79CB" w:rsidRDefault="00027670" w:rsidP="00655670">
      <w:pPr>
        <w:pStyle w:val="TableParagraph"/>
        <w:ind w:left="0" w:right="102"/>
        <w:rPr>
          <w:sz w:val="18"/>
          <w:szCs w:val="18"/>
          <w:lang w:val="en-US"/>
        </w:rPr>
      </w:pPr>
      <w:r w:rsidRPr="00DE79CB">
        <w:rPr>
          <w:sz w:val="18"/>
          <w:szCs w:val="18"/>
          <w:lang w:val="en-GB"/>
        </w:rPr>
        <w:t xml:space="preserve">Civil society organisations </w:t>
      </w:r>
      <w:r w:rsidR="00DD45C4" w:rsidRPr="00DE79CB">
        <w:rPr>
          <w:sz w:val="18"/>
          <w:szCs w:val="18"/>
          <w:lang w:val="en-GB"/>
        </w:rPr>
        <w:t xml:space="preserve">can </w:t>
      </w:r>
      <w:r w:rsidRPr="00DE79CB">
        <w:rPr>
          <w:sz w:val="18"/>
          <w:szCs w:val="18"/>
          <w:lang w:val="en-GB"/>
        </w:rPr>
        <w:t>play an important role in multi-stakeholder approaches</w:t>
      </w:r>
      <w:r w:rsidR="00DD45C4" w:rsidRPr="00DE79CB">
        <w:rPr>
          <w:sz w:val="18"/>
          <w:szCs w:val="18"/>
          <w:lang w:val="en-GB"/>
        </w:rPr>
        <w:t>, like the Dutch Diamond Approach,</w:t>
      </w:r>
      <w:r w:rsidRPr="00DE79CB">
        <w:rPr>
          <w:sz w:val="18"/>
          <w:szCs w:val="18"/>
          <w:lang w:val="en-GB"/>
        </w:rPr>
        <w:t xml:space="preserve"> aimed at developing </w:t>
      </w:r>
      <w:r w:rsidR="00FC672B" w:rsidRPr="00DE79CB">
        <w:rPr>
          <w:sz w:val="18"/>
          <w:szCs w:val="18"/>
          <w:lang w:val="en-GB"/>
        </w:rPr>
        <w:t xml:space="preserve">economically </w:t>
      </w:r>
      <w:r w:rsidRPr="00DE79CB">
        <w:rPr>
          <w:sz w:val="18"/>
          <w:szCs w:val="18"/>
          <w:lang w:val="en-GB"/>
        </w:rPr>
        <w:t xml:space="preserve">successful business models that address and reduce abuses in value chains. They may also contribute to the scaling up of </w:t>
      </w:r>
      <w:r w:rsidR="00DD45C4" w:rsidRPr="00DE79CB">
        <w:rPr>
          <w:sz w:val="18"/>
          <w:szCs w:val="18"/>
          <w:lang w:val="en-GB"/>
        </w:rPr>
        <w:t xml:space="preserve">best </w:t>
      </w:r>
      <w:r w:rsidRPr="00DE79CB">
        <w:rPr>
          <w:sz w:val="18"/>
          <w:szCs w:val="18"/>
          <w:lang w:val="en-GB"/>
        </w:rPr>
        <w:t>practices within a sector. In addition, civil society organisations can help amplify the voices of local producers and workers, including through social dialogue aimed at improving labour rights. Other stakeholders that play an important role in the sustainable development of supply chains include sector organisations, social partners, governments in production countries, the Dutch government, and the European Commission.</w:t>
      </w:r>
    </w:p>
    <w:p w14:paraId="76D8EDFE" w14:textId="77777777" w:rsidR="000861E8" w:rsidRPr="00DE79CB" w:rsidRDefault="000861E8" w:rsidP="00655670">
      <w:pPr>
        <w:pStyle w:val="TableParagraph"/>
        <w:ind w:left="0" w:right="100"/>
        <w:rPr>
          <w:sz w:val="18"/>
          <w:szCs w:val="18"/>
          <w:lang w:val="en-US"/>
        </w:rPr>
      </w:pPr>
    </w:p>
    <w:p w14:paraId="54EED480" w14:textId="7D261C3D" w:rsidR="007544C7" w:rsidRPr="00DE79CB" w:rsidRDefault="00457D06" w:rsidP="00655670">
      <w:pPr>
        <w:pStyle w:val="TableParagraph"/>
        <w:ind w:left="0" w:right="100"/>
        <w:rPr>
          <w:sz w:val="18"/>
          <w:szCs w:val="18"/>
          <w:u w:val="single"/>
          <w:lang w:val="en-US"/>
        </w:rPr>
      </w:pPr>
      <w:r w:rsidRPr="00DE79CB">
        <w:rPr>
          <w:sz w:val="18"/>
          <w:szCs w:val="18"/>
          <w:u w:val="single"/>
          <w:lang w:val="en-GB"/>
        </w:rPr>
        <w:t>4.1.3 Focus s</w:t>
      </w:r>
      <w:r w:rsidR="007544C7" w:rsidRPr="00DE79CB">
        <w:rPr>
          <w:sz w:val="18"/>
          <w:szCs w:val="18"/>
          <w:u w:val="single"/>
          <w:lang w:val="en-GB"/>
        </w:rPr>
        <w:t>ectors</w:t>
      </w:r>
      <w:r w:rsidRPr="00DE79CB">
        <w:rPr>
          <w:sz w:val="18"/>
          <w:szCs w:val="18"/>
          <w:u w:val="single"/>
          <w:lang w:val="en-GB"/>
        </w:rPr>
        <w:t xml:space="preserve">, </w:t>
      </w:r>
      <w:proofErr w:type="spellStart"/>
      <w:r w:rsidRPr="00DE79CB">
        <w:rPr>
          <w:sz w:val="18"/>
          <w:szCs w:val="18"/>
          <w:u w:val="single"/>
          <w:lang w:val="en-GB"/>
        </w:rPr>
        <w:t>valuechains</w:t>
      </w:r>
      <w:proofErr w:type="spellEnd"/>
      <w:r w:rsidR="007544C7" w:rsidRPr="00DE79CB">
        <w:rPr>
          <w:sz w:val="18"/>
          <w:szCs w:val="18"/>
          <w:u w:val="single"/>
          <w:lang w:val="en-GB"/>
        </w:rPr>
        <w:t xml:space="preserve"> and </w:t>
      </w:r>
      <w:r w:rsidRPr="00DE79CB">
        <w:rPr>
          <w:sz w:val="18"/>
          <w:szCs w:val="18"/>
          <w:u w:val="single"/>
          <w:lang w:val="en-GB"/>
        </w:rPr>
        <w:t xml:space="preserve">policy priorities per </w:t>
      </w:r>
      <w:r w:rsidR="007544C7" w:rsidRPr="00DE79CB">
        <w:rPr>
          <w:sz w:val="18"/>
          <w:szCs w:val="18"/>
          <w:u w:val="single"/>
          <w:lang w:val="en-GB"/>
        </w:rPr>
        <w:t>target count</w:t>
      </w:r>
      <w:r w:rsidRPr="00DE79CB">
        <w:rPr>
          <w:sz w:val="18"/>
          <w:szCs w:val="18"/>
          <w:u w:val="single"/>
          <w:lang w:val="en-GB"/>
        </w:rPr>
        <w:t>ry</w:t>
      </w:r>
    </w:p>
    <w:p w14:paraId="39891091" w14:textId="17351840" w:rsidR="007B698F" w:rsidRPr="00DE79CB" w:rsidRDefault="007B698F" w:rsidP="00655670">
      <w:pPr>
        <w:pStyle w:val="Plattetekst"/>
        <w:ind w:right="162"/>
        <w:rPr>
          <w:rStyle w:val="cf01"/>
          <w:rFonts w:ascii="Verdana" w:hAnsi="Verdana" w:cs="Verdana"/>
          <w:lang w:val="en-US"/>
        </w:rPr>
      </w:pPr>
      <w:r w:rsidRPr="00DE79CB">
        <w:rPr>
          <w:rStyle w:val="cf01"/>
          <w:rFonts w:ascii="Verdana" w:hAnsi="Verdana" w:cs="Verdana"/>
          <w:lang w:val="en-GB"/>
        </w:rPr>
        <w:t xml:space="preserve">The grant programme focuses on the agriculture and agrifood, mining and raw materials, and garments and textiles sectors. Within these sectors, the programme targets value chains </w:t>
      </w:r>
      <w:r w:rsidR="00B228B5" w:rsidRPr="00DE79CB">
        <w:rPr>
          <w:rStyle w:val="cf01"/>
          <w:rFonts w:ascii="Verdana" w:hAnsi="Verdana" w:cs="Verdana"/>
          <w:lang w:val="en-GB"/>
        </w:rPr>
        <w:t xml:space="preserve">that are relevant for the </w:t>
      </w:r>
      <w:r w:rsidR="001731A0" w:rsidRPr="00DE79CB">
        <w:rPr>
          <w:rStyle w:val="cf01"/>
          <w:rFonts w:ascii="Verdana" w:hAnsi="Verdana" w:cs="Verdana"/>
          <w:lang w:val="en-GB"/>
        </w:rPr>
        <w:t xml:space="preserve">target countries as well as the </w:t>
      </w:r>
      <w:r w:rsidR="00B228B5" w:rsidRPr="00DE79CB">
        <w:rPr>
          <w:rStyle w:val="cf01"/>
          <w:rFonts w:ascii="Verdana" w:hAnsi="Verdana" w:cs="Verdana"/>
          <w:lang w:val="en-GB"/>
        </w:rPr>
        <w:t xml:space="preserve">Netherlands or Europe and with </w:t>
      </w:r>
      <w:r w:rsidRPr="00DE79CB">
        <w:rPr>
          <w:rStyle w:val="cf01"/>
          <w:rFonts w:ascii="Verdana" w:hAnsi="Verdana" w:cs="Verdana"/>
          <w:lang w:val="en-GB"/>
        </w:rPr>
        <w:t xml:space="preserve">significant risk of abuses. </w:t>
      </w:r>
      <w:r w:rsidR="00B228B5" w:rsidRPr="00DE79CB">
        <w:rPr>
          <w:rStyle w:val="cf01"/>
          <w:rFonts w:ascii="Verdana" w:hAnsi="Verdana" w:cs="Verdana"/>
          <w:lang w:val="en-GB"/>
        </w:rPr>
        <w:t xml:space="preserve">Additionally, primary sectors and value chains </w:t>
      </w:r>
      <w:r w:rsidR="001731A0" w:rsidRPr="00DE79CB">
        <w:rPr>
          <w:rStyle w:val="cf01"/>
          <w:rFonts w:ascii="Verdana" w:hAnsi="Verdana" w:cs="Verdana"/>
          <w:lang w:val="en-GB"/>
        </w:rPr>
        <w:t xml:space="preserve">selected </w:t>
      </w:r>
      <w:r w:rsidR="00B228B5" w:rsidRPr="00DE79CB">
        <w:rPr>
          <w:rStyle w:val="cf01"/>
          <w:rFonts w:ascii="Verdana" w:hAnsi="Verdana" w:cs="Verdana"/>
          <w:lang w:val="en-GB"/>
        </w:rPr>
        <w:t xml:space="preserve">by the applicant must align with Dutch policy priorities per target country as listed in appendix 1 to these policy rules. </w:t>
      </w:r>
      <w:r w:rsidRPr="00DE79CB">
        <w:rPr>
          <w:rStyle w:val="cf01"/>
          <w:rFonts w:ascii="Verdana" w:hAnsi="Verdana" w:cs="Verdana"/>
          <w:lang w:val="en-GB"/>
        </w:rPr>
        <w:t>The geographical focus of the grant programme is on 21 target countries in Africa and Asia</w:t>
      </w:r>
      <w:r w:rsidR="00B228B5" w:rsidRPr="00DE79CB">
        <w:rPr>
          <w:rStyle w:val="cf01"/>
          <w:rFonts w:ascii="Verdana" w:hAnsi="Verdana" w:cs="Verdana"/>
          <w:lang w:val="en-GB"/>
        </w:rPr>
        <w:t>.</w:t>
      </w:r>
    </w:p>
    <w:p w14:paraId="19ACD50E" w14:textId="7C164775" w:rsidR="1DA8E720" w:rsidRPr="00DE79CB" w:rsidRDefault="1DA8E720" w:rsidP="00655670">
      <w:pPr>
        <w:spacing w:after="0" w:line="240" w:lineRule="auto"/>
        <w:rPr>
          <w:rFonts w:ascii="Verdana" w:eastAsia="Verdana" w:hAnsi="Verdana" w:cs="Verdana"/>
          <w:sz w:val="18"/>
          <w:szCs w:val="18"/>
          <w:lang w:val="en-US"/>
        </w:rPr>
      </w:pPr>
    </w:p>
    <w:p w14:paraId="123FB4CE" w14:textId="1B6238FD" w:rsidR="00A5183D" w:rsidRPr="00DE79CB" w:rsidRDefault="00457D06" w:rsidP="00655670">
      <w:pPr>
        <w:spacing w:after="0" w:line="240" w:lineRule="auto"/>
        <w:rPr>
          <w:rFonts w:ascii="Verdana" w:eastAsia="Verdana" w:hAnsi="Verdana" w:cs="Verdana"/>
          <w:sz w:val="18"/>
          <w:szCs w:val="18"/>
          <w:u w:val="single"/>
          <w:lang w:val="en-US"/>
        </w:rPr>
      </w:pPr>
      <w:r w:rsidRPr="00DE79CB">
        <w:rPr>
          <w:rFonts w:ascii="Verdana" w:eastAsia="Verdana" w:hAnsi="Verdana" w:cs="Verdana"/>
          <w:sz w:val="18"/>
          <w:szCs w:val="18"/>
          <w:u w:val="single"/>
          <w:lang w:val="en-GB"/>
        </w:rPr>
        <w:t xml:space="preserve">4.1.4 </w:t>
      </w:r>
      <w:r w:rsidR="00A5183D" w:rsidRPr="00DE79CB">
        <w:rPr>
          <w:rFonts w:ascii="Verdana" w:eastAsia="Verdana" w:hAnsi="Verdana" w:cs="Verdana"/>
          <w:sz w:val="18"/>
          <w:szCs w:val="18"/>
          <w:u w:val="single"/>
          <w:lang w:val="en-GB"/>
        </w:rPr>
        <w:t>Themes</w:t>
      </w:r>
    </w:p>
    <w:p w14:paraId="65BBB45E" w14:textId="720BD60B" w:rsidR="00D75451" w:rsidRPr="00DE79CB" w:rsidRDefault="00D75451"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 xml:space="preserve">The grant programme follows the OECD Guidelines for Multinational Enterprises, the United Nations Guiding Principles on Business &amp; Human Rights, and its themes. Economic, social and environmental aspects are addressed holistically, in line with the People, Planet, Profit principle, as set out in appendix 2 to these policy rules. </w:t>
      </w:r>
    </w:p>
    <w:p w14:paraId="5AD76CF4" w14:textId="4BC08B04" w:rsidR="006422C7" w:rsidRPr="00DE79CB" w:rsidRDefault="006422C7" w:rsidP="00655670">
      <w:pPr>
        <w:spacing w:after="0" w:line="240" w:lineRule="auto"/>
        <w:rPr>
          <w:rFonts w:ascii="Verdana" w:eastAsia="Verdana" w:hAnsi="Verdana" w:cs="Verdana"/>
          <w:sz w:val="18"/>
          <w:szCs w:val="18"/>
          <w:lang w:val="en-US"/>
        </w:rPr>
      </w:pPr>
    </w:p>
    <w:p w14:paraId="5D598855" w14:textId="5C940617" w:rsidR="00DC68D0" w:rsidRPr="00DE79CB" w:rsidRDefault="00DC68D0" w:rsidP="00655670">
      <w:pPr>
        <w:spacing w:after="0" w:line="240" w:lineRule="auto"/>
        <w:rPr>
          <w:rFonts w:ascii="Verdana" w:eastAsia="Verdana" w:hAnsi="Verdana" w:cs="Verdana"/>
          <w:i/>
          <w:sz w:val="18"/>
          <w:szCs w:val="18"/>
          <w:lang w:val="en-US"/>
        </w:rPr>
      </w:pPr>
      <w:r w:rsidRPr="00DE79CB">
        <w:rPr>
          <w:rFonts w:ascii="Verdana" w:eastAsia="Verdana" w:hAnsi="Verdana" w:cs="Verdana"/>
          <w:i/>
          <w:iCs/>
          <w:sz w:val="18"/>
          <w:szCs w:val="18"/>
          <w:lang w:val="en-GB"/>
        </w:rPr>
        <w:t>4.2 Who may qualify for a grant</w:t>
      </w:r>
    </w:p>
    <w:p w14:paraId="4FB79164" w14:textId="48F87092" w:rsidR="00845D4F" w:rsidRPr="00DE79CB" w:rsidRDefault="0083712C"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 xml:space="preserve">Grants under this grant programme are intended for civil society organisations that: </w:t>
      </w:r>
    </w:p>
    <w:p w14:paraId="18CCE7E4" w14:textId="77777777" w:rsidR="00930327" w:rsidRPr="00DE79CB" w:rsidRDefault="00930327" w:rsidP="00655670">
      <w:pPr>
        <w:pStyle w:val="Plattetekst"/>
        <w:ind w:right="239"/>
        <w:rPr>
          <w:sz w:val="18"/>
          <w:szCs w:val="18"/>
          <w:lang w:val="en-US"/>
        </w:rPr>
      </w:pPr>
    </w:p>
    <w:p w14:paraId="0714944B" w14:textId="3A0A9C71" w:rsidR="004C6431" w:rsidRPr="00DE79CB" w:rsidRDefault="00D04129" w:rsidP="00655670">
      <w:pPr>
        <w:pStyle w:val="Lijstalinea"/>
        <w:numPr>
          <w:ilvl w:val="0"/>
          <w:numId w:val="45"/>
        </w:numPr>
        <w:spacing w:after="0" w:line="240" w:lineRule="auto"/>
        <w:ind w:left="360"/>
        <w:rPr>
          <w:rFonts w:ascii="Verdana" w:hAnsi="Verdana"/>
          <w:i/>
          <w:sz w:val="18"/>
          <w:szCs w:val="18"/>
          <w:lang w:val="en-US"/>
        </w:rPr>
      </w:pPr>
      <w:bookmarkStart w:id="9" w:name="_Hlk216177651"/>
      <w:r w:rsidRPr="00DE79CB">
        <w:rPr>
          <w:rFonts w:ascii="Verdana" w:hAnsi="Verdana"/>
          <w:sz w:val="18"/>
          <w:szCs w:val="18"/>
          <w:lang w:val="en-GB"/>
        </w:rPr>
        <w:t>are legally established in the Netherlands or in the target country in which the activities will be carried out;</w:t>
      </w:r>
    </w:p>
    <w:p w14:paraId="19228771" w14:textId="71E3EC32" w:rsidR="003E723A" w:rsidRPr="00DE79CB" w:rsidRDefault="003E723A" w:rsidP="00655670">
      <w:pPr>
        <w:pStyle w:val="Plattetekst"/>
        <w:numPr>
          <w:ilvl w:val="0"/>
          <w:numId w:val="45"/>
        </w:numPr>
        <w:ind w:left="360" w:right="239"/>
        <w:rPr>
          <w:rFonts w:eastAsia="Times New Roman"/>
          <w:sz w:val="18"/>
          <w:szCs w:val="18"/>
          <w:lang w:val="en-US"/>
        </w:rPr>
      </w:pPr>
      <w:r w:rsidRPr="00DE79CB">
        <w:rPr>
          <w:sz w:val="18"/>
          <w:szCs w:val="18"/>
          <w:lang w:val="en-GB"/>
        </w:rPr>
        <w:t xml:space="preserve">can demonstrate relevant expertise in relation to the type of activities for which funding is requested. Applicants are required to have at least five years of experience in implementing activities related to the primary value chain </w:t>
      </w:r>
      <w:r w:rsidR="00D53D4D" w:rsidRPr="00DE79CB">
        <w:rPr>
          <w:sz w:val="18"/>
          <w:szCs w:val="18"/>
          <w:lang w:val="en-GB"/>
        </w:rPr>
        <w:t xml:space="preserve">in all </w:t>
      </w:r>
      <w:r w:rsidRPr="00DE79CB">
        <w:rPr>
          <w:sz w:val="18"/>
          <w:szCs w:val="18"/>
          <w:lang w:val="en-GB"/>
        </w:rPr>
        <w:t xml:space="preserve"> target countries to which the proposed activities relate, as acquired within the six years preceding the reference date of January 1, 2026;</w:t>
      </w:r>
    </w:p>
    <w:p w14:paraId="5CB2ABE0" w14:textId="62EBFDEB" w:rsidR="003E723A" w:rsidRPr="00DE79CB" w:rsidRDefault="003E723A" w:rsidP="00655670">
      <w:pPr>
        <w:pStyle w:val="Plattetekst"/>
        <w:numPr>
          <w:ilvl w:val="0"/>
          <w:numId w:val="45"/>
        </w:numPr>
        <w:ind w:left="360" w:right="239"/>
        <w:rPr>
          <w:rFonts w:eastAsia="Times New Roman"/>
          <w:sz w:val="18"/>
          <w:szCs w:val="18"/>
          <w:lang w:val="en-US"/>
        </w:rPr>
      </w:pPr>
      <w:r w:rsidRPr="00DE79CB">
        <w:rPr>
          <w:sz w:val="18"/>
          <w:szCs w:val="18"/>
          <w:lang w:val="en-GB"/>
        </w:rPr>
        <w:t>can prove that they have structurally safeguarded and sufficient organisational capacity to implement the proposed activities, as evidenced by previous implementation of activities of comparable scale;</w:t>
      </w:r>
    </w:p>
    <w:p w14:paraId="6C713F77" w14:textId="31B24059" w:rsidR="005227FA" w:rsidRPr="00DE79CB" w:rsidRDefault="00D504A5" w:rsidP="00655670">
      <w:pPr>
        <w:pStyle w:val="Plattetekst"/>
        <w:numPr>
          <w:ilvl w:val="0"/>
          <w:numId w:val="45"/>
        </w:numPr>
        <w:ind w:left="360" w:right="239"/>
        <w:rPr>
          <w:rFonts w:eastAsia="Times New Roman"/>
          <w:sz w:val="18"/>
          <w:szCs w:val="18"/>
          <w:lang w:val="en-US"/>
        </w:rPr>
      </w:pPr>
      <w:r w:rsidRPr="00DE79CB">
        <w:rPr>
          <w:rFonts w:eastAsia="Times New Roman"/>
          <w:sz w:val="18"/>
          <w:szCs w:val="18"/>
          <w:lang w:val="en-GB"/>
        </w:rPr>
        <w:t xml:space="preserve">have adopted a system for the selection, monitoring and risk management of partners. </w:t>
      </w:r>
      <w:r w:rsidR="00D53D4D" w:rsidRPr="00DE79CB">
        <w:rPr>
          <w:rFonts w:eastAsia="Times New Roman"/>
          <w:sz w:val="18"/>
          <w:szCs w:val="18"/>
          <w:lang w:val="en-GB"/>
        </w:rPr>
        <w:t xml:space="preserve">An applicant </w:t>
      </w:r>
      <w:r w:rsidRPr="00DE79CB">
        <w:rPr>
          <w:rFonts w:eastAsia="Times New Roman"/>
          <w:sz w:val="18"/>
          <w:szCs w:val="18"/>
          <w:lang w:val="en-GB"/>
        </w:rPr>
        <w:t xml:space="preserve">must have a current policy and system, applied within the past five years with reference date </w:t>
      </w:r>
      <w:r w:rsidR="008C3366" w:rsidRPr="00DE79CB">
        <w:rPr>
          <w:rFonts w:eastAsia="Times New Roman"/>
          <w:sz w:val="18"/>
          <w:szCs w:val="18"/>
          <w:lang w:val="en-GB"/>
        </w:rPr>
        <w:t>January</w:t>
      </w:r>
      <w:r w:rsidRPr="00DE79CB">
        <w:rPr>
          <w:rFonts w:eastAsia="Times New Roman"/>
          <w:sz w:val="18"/>
          <w:szCs w:val="18"/>
          <w:lang w:val="en-GB"/>
        </w:rPr>
        <w:t xml:space="preserve"> 1, 202</w:t>
      </w:r>
      <w:r w:rsidR="008C3366" w:rsidRPr="00DE79CB">
        <w:rPr>
          <w:rFonts w:eastAsia="Times New Roman"/>
          <w:sz w:val="18"/>
          <w:szCs w:val="18"/>
          <w:lang w:val="en-GB"/>
        </w:rPr>
        <w:t>6</w:t>
      </w:r>
      <w:r w:rsidRPr="00DE79CB">
        <w:rPr>
          <w:rFonts w:eastAsia="Times New Roman"/>
          <w:sz w:val="18"/>
          <w:szCs w:val="18"/>
          <w:lang w:val="en-GB"/>
        </w:rPr>
        <w:t>, for selection and monitoring</w:t>
      </w:r>
      <w:r w:rsidR="00D53D4D" w:rsidRPr="00DE79CB">
        <w:rPr>
          <w:rFonts w:eastAsia="Times New Roman"/>
          <w:sz w:val="18"/>
          <w:szCs w:val="18"/>
          <w:lang w:val="en-GB"/>
        </w:rPr>
        <w:t xml:space="preserve"> of partners supported by him</w:t>
      </w:r>
      <w:r w:rsidRPr="00DE79CB">
        <w:rPr>
          <w:rFonts w:eastAsia="Times New Roman"/>
          <w:sz w:val="18"/>
          <w:szCs w:val="18"/>
          <w:lang w:val="en-GB"/>
        </w:rPr>
        <w:t xml:space="preserve">. This system must address the management of financial, governance, and integrity risks associated with partners, in relation to the implementation of activities and the use of funds provided with </w:t>
      </w:r>
      <w:r w:rsidR="00D53D4D" w:rsidRPr="00DE79CB">
        <w:rPr>
          <w:rFonts w:eastAsia="Times New Roman"/>
          <w:sz w:val="18"/>
          <w:szCs w:val="18"/>
          <w:lang w:val="en-GB"/>
        </w:rPr>
        <w:t>(</w:t>
      </w:r>
      <w:r w:rsidRPr="00DE79CB">
        <w:rPr>
          <w:rFonts w:eastAsia="Times New Roman"/>
          <w:sz w:val="18"/>
          <w:szCs w:val="18"/>
          <w:lang w:val="en-GB"/>
        </w:rPr>
        <w:t>financial</w:t>
      </w:r>
      <w:r w:rsidR="00D53D4D" w:rsidRPr="00DE79CB">
        <w:rPr>
          <w:rFonts w:eastAsia="Times New Roman"/>
          <w:sz w:val="18"/>
          <w:szCs w:val="18"/>
          <w:lang w:val="en-GB"/>
        </w:rPr>
        <w:t>)</w:t>
      </w:r>
      <w:r w:rsidRPr="00DE79CB">
        <w:rPr>
          <w:rFonts w:eastAsia="Times New Roman"/>
          <w:sz w:val="18"/>
          <w:szCs w:val="18"/>
          <w:lang w:val="en-GB"/>
        </w:rPr>
        <w:t xml:space="preserve"> support from the applicant, and must also ensure the progress and quality of partner activities;</w:t>
      </w:r>
    </w:p>
    <w:p w14:paraId="24B334C4" w14:textId="1814888A" w:rsidR="00A414DB" w:rsidRPr="00DE79CB" w:rsidRDefault="00D504A5" w:rsidP="00655670">
      <w:pPr>
        <w:pStyle w:val="Plattetekst"/>
        <w:numPr>
          <w:ilvl w:val="0"/>
          <w:numId w:val="45"/>
        </w:numPr>
        <w:ind w:left="360" w:right="239"/>
        <w:rPr>
          <w:rFonts w:eastAsia="Times New Roman"/>
          <w:sz w:val="18"/>
          <w:szCs w:val="18"/>
          <w:lang w:val="en-US"/>
        </w:rPr>
      </w:pPr>
      <w:r w:rsidRPr="00DE79CB">
        <w:rPr>
          <w:sz w:val="18"/>
          <w:szCs w:val="18"/>
          <w:lang w:val="en-GB"/>
        </w:rPr>
        <w:t xml:space="preserve">derived </w:t>
      </w:r>
      <w:r w:rsidR="00D53D4D" w:rsidRPr="00DE79CB">
        <w:rPr>
          <w:sz w:val="18"/>
          <w:szCs w:val="18"/>
          <w:lang w:val="en-GB"/>
        </w:rPr>
        <w:t xml:space="preserve">on </w:t>
      </w:r>
      <w:r w:rsidR="003C297D" w:rsidRPr="00DE79CB">
        <w:rPr>
          <w:sz w:val="18"/>
          <w:szCs w:val="18"/>
          <w:lang w:val="en-GB"/>
        </w:rPr>
        <w:t>average</w:t>
      </w:r>
      <w:r w:rsidR="00D53D4D" w:rsidRPr="00DE79CB">
        <w:rPr>
          <w:sz w:val="18"/>
          <w:szCs w:val="18"/>
          <w:lang w:val="en-GB"/>
        </w:rPr>
        <w:t xml:space="preserve"> </w:t>
      </w:r>
      <w:r w:rsidRPr="00DE79CB">
        <w:rPr>
          <w:sz w:val="18"/>
          <w:szCs w:val="18"/>
          <w:lang w:val="en-GB"/>
        </w:rPr>
        <w:t xml:space="preserve">at least 25% of their total annual income over the period 2022–2024 from sources other than the Dutch Ministry of Foreign Affairs. An exception applies to </w:t>
      </w:r>
      <w:r w:rsidRPr="00DE79CB">
        <w:rPr>
          <w:sz w:val="18"/>
          <w:szCs w:val="18"/>
          <w:lang w:val="en-GB"/>
        </w:rPr>
        <w:lastRenderedPageBreak/>
        <w:t xml:space="preserve">specialist organisations and small southern organisations. Further clarification of what constitutes income </w:t>
      </w:r>
      <w:r w:rsidR="00D53D4D" w:rsidRPr="00DE79CB">
        <w:rPr>
          <w:sz w:val="18"/>
          <w:szCs w:val="18"/>
          <w:lang w:val="en-GB"/>
        </w:rPr>
        <w:t>(</w:t>
      </w:r>
      <w:r w:rsidRPr="00DE79CB">
        <w:rPr>
          <w:sz w:val="18"/>
          <w:szCs w:val="18"/>
          <w:lang w:val="en-GB"/>
        </w:rPr>
        <w:t>not</w:t>
      </w:r>
      <w:r w:rsidR="00D53D4D" w:rsidRPr="00DE79CB">
        <w:rPr>
          <w:sz w:val="18"/>
          <w:szCs w:val="18"/>
          <w:lang w:val="en-GB"/>
        </w:rPr>
        <w:t>)</w:t>
      </w:r>
      <w:r w:rsidRPr="00DE79CB">
        <w:rPr>
          <w:sz w:val="18"/>
          <w:szCs w:val="18"/>
          <w:lang w:val="en-GB"/>
        </w:rPr>
        <w:t xml:space="preserve"> derived from the Ministry of Foreign Affairs, as well as the criteria for qualifying as a specialist organisation or small southern organisation, is provided in appendix 4 to these policy rules.</w:t>
      </w:r>
    </w:p>
    <w:p w14:paraId="5BE2C00E" w14:textId="77777777" w:rsidR="00BF12FA" w:rsidRPr="00DE79CB" w:rsidRDefault="00BF12FA" w:rsidP="00655670">
      <w:pPr>
        <w:spacing w:after="0" w:line="240" w:lineRule="auto"/>
        <w:rPr>
          <w:rFonts w:ascii="Verdana" w:eastAsia="Verdana" w:hAnsi="Verdana" w:cs="Verdana"/>
          <w:sz w:val="18"/>
          <w:szCs w:val="18"/>
          <w:u w:val="single"/>
          <w:shd w:val="clear" w:color="auto" w:fill="FFFFFF"/>
          <w:lang w:val="en-US"/>
        </w:rPr>
      </w:pPr>
    </w:p>
    <w:p w14:paraId="296CC4C6" w14:textId="48FA5FE2" w:rsidR="00BF12FA" w:rsidRPr="00DE79CB" w:rsidRDefault="00BF12FA" w:rsidP="00655670">
      <w:pPr>
        <w:spacing w:after="0" w:line="240" w:lineRule="auto"/>
        <w:rPr>
          <w:rFonts w:ascii="Verdana" w:eastAsia="Verdana" w:hAnsi="Verdana" w:cs="Verdana"/>
          <w:sz w:val="18"/>
          <w:szCs w:val="18"/>
          <w:shd w:val="clear" w:color="auto" w:fill="FFFFFF"/>
          <w:lang w:val="en-US"/>
        </w:rPr>
      </w:pPr>
      <w:r w:rsidRPr="00DE79CB">
        <w:rPr>
          <w:rFonts w:ascii="Verdana" w:eastAsia="Verdana" w:hAnsi="Verdana" w:cs="Verdana"/>
          <w:sz w:val="18"/>
          <w:szCs w:val="18"/>
          <w:shd w:val="clear" w:color="auto" w:fill="FFFFFF"/>
          <w:lang w:val="en-GB"/>
        </w:rPr>
        <w:t>In addition, the following requirements apply:</w:t>
      </w:r>
    </w:p>
    <w:p w14:paraId="1A003065" w14:textId="77777777" w:rsidR="00062437" w:rsidRPr="00DE79CB" w:rsidRDefault="00062437" w:rsidP="00655670">
      <w:pPr>
        <w:spacing w:after="0" w:line="240" w:lineRule="auto"/>
        <w:rPr>
          <w:rFonts w:ascii="Verdana" w:eastAsia="Verdana" w:hAnsi="Verdana" w:cs="Verdana"/>
          <w:sz w:val="18"/>
          <w:szCs w:val="18"/>
          <w:u w:val="single"/>
          <w:shd w:val="clear" w:color="auto" w:fill="FFFFFF"/>
          <w:lang w:val="en-US"/>
        </w:rPr>
      </w:pPr>
    </w:p>
    <w:p w14:paraId="4125849A" w14:textId="794A0C17" w:rsidR="00BF12FA" w:rsidRPr="00DE79CB" w:rsidRDefault="00BF12FA" w:rsidP="00655670">
      <w:pPr>
        <w:spacing w:after="0" w:line="240" w:lineRule="auto"/>
        <w:rPr>
          <w:rFonts w:ascii="Verdana" w:eastAsia="Verdana" w:hAnsi="Verdana" w:cs="Verdana"/>
          <w:sz w:val="18"/>
          <w:szCs w:val="18"/>
          <w:u w:val="single"/>
          <w:lang w:val="en-US"/>
        </w:rPr>
      </w:pPr>
      <w:r w:rsidRPr="00DE79CB">
        <w:rPr>
          <w:rFonts w:ascii="Verdana" w:eastAsia="Verdana" w:hAnsi="Verdana" w:cs="Verdana"/>
          <w:sz w:val="18"/>
          <w:szCs w:val="18"/>
          <w:u w:val="single"/>
          <w:shd w:val="clear" w:color="auto" w:fill="FFFFFF"/>
          <w:lang w:val="en-GB"/>
        </w:rPr>
        <w:t>1. Maximum remuneration</w:t>
      </w:r>
    </w:p>
    <w:p w14:paraId="1ED08A67" w14:textId="0605EA99" w:rsidR="00BF12FA" w:rsidRPr="00DE79CB" w:rsidRDefault="00BF12FA" w:rsidP="00655670">
      <w:pPr>
        <w:spacing w:after="0" w:line="240" w:lineRule="auto"/>
        <w:rPr>
          <w:rFonts w:ascii="Verdana" w:eastAsia="Verdana" w:hAnsi="Verdana" w:cs="Verdana"/>
          <w:sz w:val="18"/>
          <w:szCs w:val="18"/>
          <w:shd w:val="clear" w:color="auto" w:fill="FFFFFF"/>
          <w:lang w:val="en-US"/>
        </w:rPr>
      </w:pPr>
      <w:r w:rsidRPr="00DE79CB">
        <w:rPr>
          <w:rFonts w:ascii="Verdana" w:eastAsia="Verdana" w:hAnsi="Verdana" w:cs="Verdana"/>
          <w:sz w:val="18"/>
          <w:szCs w:val="18"/>
          <w:shd w:val="clear" w:color="auto" w:fill="FFFFFF"/>
          <w:lang w:val="en-GB"/>
        </w:rPr>
        <w:t>As of the start of the grant period, the remuneration of each individual member of the applicant’s management and governing bodies</w:t>
      </w:r>
      <w:r w:rsidR="00D53D4D" w:rsidRPr="00DE79CB">
        <w:rPr>
          <w:rFonts w:ascii="Verdana" w:eastAsia="Verdana" w:hAnsi="Verdana" w:cs="Verdana"/>
          <w:sz w:val="18"/>
          <w:szCs w:val="18"/>
          <w:shd w:val="clear" w:color="auto" w:fill="FFFFFF"/>
          <w:lang w:val="en-GB"/>
        </w:rPr>
        <w:t xml:space="preserve"> </w:t>
      </w:r>
      <w:r w:rsidRPr="00DE79CB">
        <w:rPr>
          <w:rFonts w:ascii="Verdana" w:eastAsia="Verdana" w:hAnsi="Verdana" w:cs="Verdana"/>
          <w:sz w:val="18"/>
          <w:szCs w:val="18"/>
          <w:shd w:val="clear" w:color="auto" w:fill="FFFFFF"/>
          <w:lang w:val="en-GB"/>
        </w:rPr>
        <w:t>must not exceed the following annual gross maxima:</w:t>
      </w:r>
    </w:p>
    <w:p w14:paraId="3E68E3F1" w14:textId="030C6A02" w:rsidR="000A3D9A" w:rsidRPr="00DE79CB" w:rsidRDefault="00D53D4D" w:rsidP="00655670">
      <w:pPr>
        <w:pStyle w:val="Lijstalinea"/>
        <w:numPr>
          <w:ilvl w:val="0"/>
          <w:numId w:val="48"/>
        </w:numPr>
        <w:spacing w:after="0" w:line="240" w:lineRule="auto"/>
        <w:rPr>
          <w:rFonts w:ascii="Verdana" w:eastAsia="Verdana" w:hAnsi="Verdana" w:cs="Verdana"/>
          <w:sz w:val="18"/>
          <w:szCs w:val="18"/>
          <w:shd w:val="clear" w:color="auto" w:fill="FFFFFF"/>
          <w:lang w:val="en-US"/>
        </w:rPr>
      </w:pPr>
      <w:r w:rsidRPr="00DE79CB">
        <w:rPr>
          <w:rFonts w:ascii="Verdana" w:eastAsia="Verdana" w:hAnsi="Verdana" w:cs="Verdana"/>
          <w:sz w:val="18"/>
          <w:szCs w:val="18"/>
          <w:shd w:val="clear" w:color="auto" w:fill="FFFFFF"/>
          <w:lang w:val="en-GB"/>
        </w:rPr>
        <w:t>For a</w:t>
      </w:r>
      <w:r w:rsidR="00BF12FA" w:rsidRPr="00DE79CB">
        <w:rPr>
          <w:rFonts w:ascii="Verdana" w:eastAsia="Verdana" w:hAnsi="Verdana" w:cs="Verdana"/>
          <w:sz w:val="18"/>
          <w:szCs w:val="18"/>
          <w:shd w:val="clear" w:color="auto" w:fill="FFFFFF"/>
          <w:lang w:val="en-GB"/>
        </w:rPr>
        <w:t xml:space="preserve">pplicants legally established in the Netherlands: </w:t>
      </w:r>
    </w:p>
    <w:p w14:paraId="43E01F83" w14:textId="70711CC0" w:rsidR="00BF12FA" w:rsidRPr="00DE79CB" w:rsidRDefault="00BF12FA" w:rsidP="00655670">
      <w:pPr>
        <w:pStyle w:val="Lijstalinea"/>
        <w:spacing w:after="0" w:line="240" w:lineRule="auto"/>
        <w:ind w:left="360"/>
        <w:rPr>
          <w:rFonts w:ascii="Verdana" w:eastAsia="Verdana" w:hAnsi="Verdana" w:cs="Verdana"/>
          <w:sz w:val="18"/>
          <w:szCs w:val="18"/>
          <w:shd w:val="clear" w:color="auto" w:fill="FFFFFF"/>
        </w:rPr>
      </w:pPr>
      <w:r w:rsidRPr="00DE79CB">
        <w:rPr>
          <w:rFonts w:ascii="Verdana" w:eastAsia="Verdana" w:hAnsi="Verdana" w:cs="Verdana"/>
          <w:sz w:val="18"/>
          <w:szCs w:val="18"/>
          <w:shd w:val="clear" w:color="auto" w:fill="FFFFFF"/>
          <w:lang w:val="en-GB"/>
        </w:rPr>
        <w:t>€241,000 (gross) per calendar year;</w:t>
      </w:r>
    </w:p>
    <w:p w14:paraId="48F66EAF" w14:textId="3F250CA5" w:rsidR="00BF12FA" w:rsidRPr="00DE79CB" w:rsidRDefault="00D53D4D" w:rsidP="00655670">
      <w:pPr>
        <w:pStyle w:val="Lijstalinea"/>
        <w:numPr>
          <w:ilvl w:val="0"/>
          <w:numId w:val="48"/>
        </w:numPr>
        <w:spacing w:after="0" w:line="240" w:lineRule="auto"/>
        <w:rPr>
          <w:rFonts w:ascii="Verdana" w:eastAsia="Verdana" w:hAnsi="Verdana" w:cs="Verdana"/>
          <w:sz w:val="18"/>
          <w:szCs w:val="18"/>
          <w:shd w:val="clear" w:color="auto" w:fill="FFFFFF"/>
          <w:lang w:val="en-US"/>
        </w:rPr>
      </w:pPr>
      <w:r w:rsidRPr="00DE79CB">
        <w:rPr>
          <w:rFonts w:ascii="Verdana" w:hAnsi="Verdana"/>
          <w:sz w:val="18"/>
          <w:szCs w:val="18"/>
          <w:shd w:val="clear" w:color="auto" w:fill="FFFFFF"/>
          <w:lang w:val="en-GB"/>
        </w:rPr>
        <w:t>For a</w:t>
      </w:r>
      <w:r w:rsidR="00BF12FA" w:rsidRPr="00DE79CB">
        <w:rPr>
          <w:rFonts w:ascii="Verdana" w:hAnsi="Verdana"/>
          <w:sz w:val="18"/>
          <w:szCs w:val="18"/>
          <w:shd w:val="clear" w:color="auto" w:fill="FFFFFF"/>
          <w:lang w:val="en-GB"/>
        </w:rPr>
        <w:t xml:space="preserve">pplicants legally established in the target countries: the maximum annual gross remuneration is the amount determined for the relevant </w:t>
      </w:r>
      <w:r w:rsidRPr="00DE79CB">
        <w:rPr>
          <w:rFonts w:ascii="Verdana" w:hAnsi="Verdana"/>
          <w:sz w:val="18"/>
          <w:szCs w:val="18"/>
          <w:shd w:val="clear" w:color="auto" w:fill="FFFFFF"/>
          <w:lang w:val="en-GB"/>
        </w:rPr>
        <w:t xml:space="preserve">target </w:t>
      </w:r>
      <w:r w:rsidR="00BF12FA" w:rsidRPr="00DE79CB">
        <w:rPr>
          <w:rFonts w:ascii="Verdana" w:hAnsi="Verdana"/>
          <w:sz w:val="18"/>
          <w:szCs w:val="18"/>
          <w:shd w:val="clear" w:color="auto" w:fill="FFFFFF"/>
          <w:lang w:val="en-GB"/>
        </w:rPr>
        <w:t xml:space="preserve">country of establishment, as set out in </w:t>
      </w:r>
      <w:r w:rsidR="00BF12FA" w:rsidRPr="00DE79CB">
        <w:rPr>
          <w:rFonts w:ascii="Verdana" w:hAnsi="Verdana"/>
          <w:sz w:val="18"/>
          <w:szCs w:val="18"/>
          <w:lang w:val="en-GB"/>
        </w:rPr>
        <w:t>appendix 5 of this grant policy framework.</w:t>
      </w:r>
    </w:p>
    <w:p w14:paraId="5A6A6C1F" w14:textId="77777777" w:rsidR="005227FA" w:rsidRPr="00DE79CB" w:rsidRDefault="005227FA" w:rsidP="00655670">
      <w:pPr>
        <w:pStyle w:val="Lijstalinea"/>
        <w:spacing w:after="0" w:line="240" w:lineRule="auto"/>
        <w:ind w:left="360"/>
        <w:rPr>
          <w:rFonts w:ascii="Verdana" w:eastAsia="Verdana" w:hAnsi="Verdana" w:cs="Verdana"/>
          <w:sz w:val="18"/>
          <w:szCs w:val="18"/>
          <w:shd w:val="clear" w:color="auto" w:fill="FFFFFF"/>
          <w:lang w:val="en-US"/>
        </w:rPr>
      </w:pPr>
    </w:p>
    <w:bookmarkEnd w:id="9"/>
    <w:p w14:paraId="460C1A0E" w14:textId="5D0BF231" w:rsidR="00BF12FA" w:rsidRPr="00DE79CB" w:rsidRDefault="00BF12FA" w:rsidP="00655670">
      <w:pPr>
        <w:pStyle w:val="Plattetekst"/>
        <w:ind w:right="239"/>
        <w:rPr>
          <w:sz w:val="18"/>
          <w:szCs w:val="18"/>
          <w:u w:val="single"/>
          <w:lang w:val="en-US"/>
        </w:rPr>
      </w:pPr>
      <w:r w:rsidRPr="00DE79CB">
        <w:rPr>
          <w:sz w:val="18"/>
          <w:szCs w:val="18"/>
          <w:u w:val="single"/>
          <w:lang w:val="en-GB"/>
        </w:rPr>
        <w:t>2. Living wage</w:t>
      </w:r>
    </w:p>
    <w:p w14:paraId="693AAABB" w14:textId="428D6921" w:rsidR="00B061D5" w:rsidRPr="00DE79CB" w:rsidRDefault="00BF12FA" w:rsidP="00655670">
      <w:pPr>
        <w:pStyle w:val="Plattetekst"/>
        <w:ind w:right="239"/>
        <w:rPr>
          <w:sz w:val="18"/>
          <w:szCs w:val="18"/>
          <w:lang w:val="en-US"/>
        </w:rPr>
      </w:pPr>
      <w:r w:rsidRPr="00DE79CB">
        <w:rPr>
          <w:sz w:val="18"/>
          <w:szCs w:val="18"/>
          <w:lang w:val="en-GB"/>
        </w:rPr>
        <w:t>In accordance with Parliamentary Motion 36180-159</w:t>
      </w:r>
      <w:r w:rsidRPr="00DE79CB">
        <w:rPr>
          <w:rStyle w:val="Voetnootmarkering"/>
          <w:sz w:val="18"/>
          <w:szCs w:val="18"/>
          <w:lang w:val="en-GB"/>
        </w:rPr>
        <w:footnoteReference w:id="13"/>
      </w:r>
      <w:r w:rsidRPr="00DE79CB">
        <w:rPr>
          <w:sz w:val="18"/>
          <w:szCs w:val="18"/>
          <w:lang w:val="en-GB"/>
        </w:rPr>
        <w:t>, the applicant must explicitly and holistically include in the application the ambition to work towards paying a living wage</w:t>
      </w:r>
      <w:r w:rsidRPr="00DE79CB">
        <w:rPr>
          <w:rStyle w:val="Voetnootmarkering"/>
          <w:sz w:val="18"/>
          <w:szCs w:val="18"/>
          <w:lang w:val="en-GB"/>
        </w:rPr>
        <w:footnoteReference w:id="14"/>
      </w:r>
      <w:r w:rsidRPr="00DE79CB">
        <w:rPr>
          <w:sz w:val="18"/>
          <w:szCs w:val="18"/>
          <w:lang w:val="en-GB"/>
        </w:rPr>
        <w:t xml:space="preserve"> for persons employed locally, as referred to in Article 23 of the Universal Declaration of Human Rights. Grant award decisions will include obligations relating to annual reporting </w:t>
      </w:r>
      <w:r w:rsidR="00D53D4D" w:rsidRPr="00DE79CB">
        <w:rPr>
          <w:sz w:val="18"/>
          <w:szCs w:val="18"/>
          <w:lang w:val="en-GB"/>
        </w:rPr>
        <w:t xml:space="preserve">in which the </w:t>
      </w:r>
      <w:r w:rsidRPr="00DE79CB">
        <w:rPr>
          <w:sz w:val="18"/>
          <w:szCs w:val="18"/>
          <w:lang w:val="en-GB"/>
        </w:rPr>
        <w:t>progress made towards the actual payment of a living wage to local staff</w:t>
      </w:r>
      <w:r w:rsidR="00D53D4D" w:rsidRPr="00DE79CB">
        <w:rPr>
          <w:sz w:val="18"/>
          <w:szCs w:val="18"/>
          <w:lang w:val="en-GB"/>
        </w:rPr>
        <w:t xml:space="preserve"> will be included</w:t>
      </w:r>
      <w:r w:rsidRPr="00DE79CB">
        <w:rPr>
          <w:sz w:val="18"/>
          <w:szCs w:val="18"/>
          <w:lang w:val="en-GB"/>
        </w:rPr>
        <w:t>. In determining an appropriate living wage level, applicants may make use of various living wage benchmarks recommended under the IDH Living Wage Roadmap</w:t>
      </w:r>
      <w:r w:rsidRPr="00DE79CB">
        <w:rPr>
          <w:rStyle w:val="Voetnootmarkering"/>
          <w:sz w:val="18"/>
          <w:szCs w:val="18"/>
          <w:lang w:val="en-GB"/>
        </w:rPr>
        <w:footnoteReference w:id="15"/>
      </w:r>
      <w:r w:rsidRPr="00DE79CB">
        <w:rPr>
          <w:sz w:val="18"/>
          <w:szCs w:val="18"/>
          <w:lang w:val="en-GB"/>
        </w:rPr>
        <w:t>.</w:t>
      </w:r>
    </w:p>
    <w:p w14:paraId="5F541ADE" w14:textId="77777777" w:rsidR="00164230" w:rsidRPr="00DE79CB" w:rsidRDefault="00164230" w:rsidP="00655670">
      <w:pPr>
        <w:pStyle w:val="Plattetekst"/>
        <w:ind w:right="239"/>
        <w:rPr>
          <w:sz w:val="18"/>
          <w:szCs w:val="18"/>
          <w:lang w:val="en-US"/>
        </w:rPr>
      </w:pPr>
    </w:p>
    <w:p w14:paraId="6A868B39" w14:textId="33785B0A" w:rsidR="00164230" w:rsidRPr="00DE79CB" w:rsidRDefault="005227FA" w:rsidP="00655670">
      <w:pPr>
        <w:pStyle w:val="Plattetekst"/>
        <w:ind w:right="239"/>
        <w:rPr>
          <w:sz w:val="18"/>
          <w:szCs w:val="18"/>
          <w:u w:val="single"/>
        </w:rPr>
      </w:pPr>
      <w:r w:rsidRPr="00DE79CB">
        <w:rPr>
          <w:sz w:val="18"/>
          <w:szCs w:val="18"/>
          <w:u w:val="single"/>
          <w:lang w:val="en-GB"/>
        </w:rPr>
        <w:t>3. Organisational capacity and integrity policy</w:t>
      </w:r>
    </w:p>
    <w:p w14:paraId="4F4E5D82" w14:textId="193FC854" w:rsidR="00164230" w:rsidRPr="00DE79CB" w:rsidRDefault="00164230" w:rsidP="00655670">
      <w:pPr>
        <w:pStyle w:val="Plattetekst"/>
        <w:numPr>
          <w:ilvl w:val="0"/>
          <w:numId w:val="49"/>
        </w:numPr>
        <w:ind w:right="239"/>
        <w:rPr>
          <w:sz w:val="18"/>
          <w:szCs w:val="18"/>
          <w:u w:val="single"/>
          <w:lang w:val="en-US"/>
        </w:rPr>
      </w:pPr>
      <w:r w:rsidRPr="00DE79CB">
        <w:rPr>
          <w:sz w:val="18"/>
          <w:szCs w:val="18"/>
          <w:lang w:val="en-GB"/>
        </w:rPr>
        <w:t>The applicant must be capable of sound financial management and must possess the necessary experience with and expertise in activities comparable to those for which funding is requested to guarantee the effective and efficient implementation of the activities.</w:t>
      </w:r>
    </w:p>
    <w:p w14:paraId="46F228F3" w14:textId="20037468" w:rsidR="00164230" w:rsidRPr="00DE79CB" w:rsidRDefault="00164230" w:rsidP="00655670">
      <w:pPr>
        <w:pStyle w:val="Plattetekst"/>
        <w:numPr>
          <w:ilvl w:val="0"/>
          <w:numId w:val="49"/>
        </w:numPr>
        <w:ind w:right="239"/>
        <w:rPr>
          <w:sz w:val="18"/>
          <w:szCs w:val="18"/>
          <w:shd w:val="clear" w:color="auto" w:fill="FFFFFF"/>
          <w:lang w:val="en-US"/>
        </w:rPr>
      </w:pPr>
      <w:r w:rsidRPr="00DE79CB">
        <w:rPr>
          <w:sz w:val="18"/>
          <w:szCs w:val="18"/>
          <w:shd w:val="clear" w:color="auto" w:fill="FFFFFF"/>
          <w:lang w:val="en-GB"/>
        </w:rPr>
        <w:t>To qualify for a grant, the applicant must have an integrity policy in place and must have implemented procedures to give effect to that policy within its own organisation. This integrity policy and these procedures should serve to prevent as far as possible any inappropriate behaviour, including sexual misconduct, towards employees and other individuals during the implementation of the proposed activities by the applicant and other parties they involve in the activities. In the event of any such incident, the applicant must conduct a thorough investigation and take appropriate measures to put an end to the misconduct or inappropriate behaviour as promptly as possible and to mitigate the consequences. These procedures must also be designed to guarantee prompt reporting of any such incidents to RVO.</w:t>
      </w:r>
    </w:p>
    <w:p w14:paraId="5319BE7B" w14:textId="77777777" w:rsidR="00164230" w:rsidRPr="00DE79CB" w:rsidRDefault="00164230" w:rsidP="00655670">
      <w:pPr>
        <w:widowControl w:val="0"/>
        <w:autoSpaceDE w:val="0"/>
        <w:autoSpaceDN w:val="0"/>
        <w:adjustRightInd w:val="0"/>
        <w:spacing w:after="0" w:line="240" w:lineRule="auto"/>
        <w:rPr>
          <w:rFonts w:ascii="Verdana" w:eastAsia="Verdana" w:hAnsi="Verdana" w:cs="Verdana"/>
          <w:sz w:val="18"/>
          <w:szCs w:val="18"/>
          <w:lang w:val="en-US"/>
        </w:rPr>
      </w:pPr>
    </w:p>
    <w:p w14:paraId="41B4BC23" w14:textId="3CBA50EB" w:rsidR="00164230" w:rsidRPr="00DE79CB" w:rsidRDefault="00301876" w:rsidP="00655670">
      <w:pPr>
        <w:widowControl w:val="0"/>
        <w:autoSpaceDE w:val="0"/>
        <w:autoSpaceDN w:val="0"/>
        <w:adjustRightInd w:val="0"/>
        <w:spacing w:after="0" w:line="240" w:lineRule="auto"/>
        <w:rPr>
          <w:rFonts w:ascii="Verdana" w:hAnsi="Verdana"/>
          <w:sz w:val="18"/>
          <w:szCs w:val="18"/>
          <w:lang w:val="en-US"/>
        </w:rPr>
      </w:pPr>
      <w:r w:rsidRPr="00DE79CB">
        <w:rPr>
          <w:rFonts w:ascii="Verdana" w:eastAsia="Times New Roman" w:hAnsi="Verdana"/>
          <w:sz w:val="18"/>
          <w:szCs w:val="18"/>
          <w:lang w:val="en-US"/>
        </w:rPr>
        <w:t>To demonstrate organizational capacity and integrity policies, this grant program uses the Organizational Risk and Integrity Assessment (ORIA). Details of the documentation applicants must submit can be found in the ORIA assessment guide on the Netherlands Enterprise Agency (RVO.nl) website.</w:t>
      </w:r>
      <w:r w:rsidRPr="00DE79CB">
        <w:rPr>
          <w:rStyle w:val="Voetnootmarkering"/>
          <w:rFonts w:ascii="Verdana" w:eastAsia="Times New Roman" w:hAnsi="Verdana"/>
          <w:sz w:val="18"/>
          <w:szCs w:val="18"/>
          <w:lang w:val="en-US"/>
        </w:rPr>
        <w:footnoteReference w:id="16"/>
      </w:r>
      <w:r w:rsidR="00164230" w:rsidRPr="00DE79CB">
        <w:rPr>
          <w:rFonts w:ascii="Verdana" w:eastAsia="Times New Roman" w:hAnsi="Verdana"/>
          <w:sz w:val="18"/>
          <w:szCs w:val="18"/>
          <w:lang w:val="en-GB"/>
        </w:rPr>
        <w:t xml:space="preserve"> </w:t>
      </w:r>
    </w:p>
    <w:p w14:paraId="35AE5D6E" w14:textId="77777777" w:rsidR="00164230" w:rsidRPr="00DE79CB" w:rsidRDefault="00164230" w:rsidP="00655670">
      <w:pPr>
        <w:pStyle w:val="Plattetekst"/>
        <w:ind w:right="239"/>
        <w:rPr>
          <w:sz w:val="18"/>
          <w:szCs w:val="18"/>
          <w:lang w:val="en-US"/>
        </w:rPr>
      </w:pPr>
    </w:p>
    <w:p w14:paraId="0862EFD2" w14:textId="22FA489D" w:rsidR="00E20306" w:rsidRPr="00DE79CB" w:rsidRDefault="00642321" w:rsidP="00655670">
      <w:pPr>
        <w:pStyle w:val="Plattetekst"/>
        <w:ind w:right="239"/>
        <w:rPr>
          <w:sz w:val="18"/>
          <w:szCs w:val="18"/>
          <w:lang w:val="en-US"/>
        </w:rPr>
      </w:pPr>
      <w:r w:rsidRPr="00DE79CB">
        <w:rPr>
          <w:sz w:val="18"/>
          <w:szCs w:val="18"/>
          <w:lang w:val="en-GB"/>
        </w:rPr>
        <w:t xml:space="preserve">The following organisations are </w:t>
      </w:r>
      <w:r w:rsidR="00B55749" w:rsidRPr="00DE79CB">
        <w:rPr>
          <w:sz w:val="18"/>
          <w:szCs w:val="18"/>
          <w:lang w:val="en-GB"/>
        </w:rPr>
        <w:t xml:space="preserve">in any case </w:t>
      </w:r>
      <w:r w:rsidRPr="00DE79CB">
        <w:rPr>
          <w:sz w:val="18"/>
          <w:szCs w:val="18"/>
          <w:lang w:val="en-GB"/>
        </w:rPr>
        <w:t>not eligible for a grant under this programme:</w:t>
      </w:r>
    </w:p>
    <w:p w14:paraId="569710E5" w14:textId="57C9F461" w:rsidR="00E20306" w:rsidRPr="00DE79CB" w:rsidRDefault="00C04640" w:rsidP="00655670">
      <w:pPr>
        <w:pStyle w:val="Plattetekst"/>
        <w:numPr>
          <w:ilvl w:val="0"/>
          <w:numId w:val="5"/>
        </w:numPr>
        <w:ind w:right="239"/>
        <w:rPr>
          <w:sz w:val="18"/>
          <w:szCs w:val="18"/>
        </w:rPr>
      </w:pPr>
      <w:r w:rsidRPr="00DE79CB">
        <w:rPr>
          <w:sz w:val="18"/>
          <w:szCs w:val="18"/>
          <w:lang w:val="en-GB"/>
        </w:rPr>
        <w:t>for-profit organisations;</w:t>
      </w:r>
    </w:p>
    <w:p w14:paraId="7C701793" w14:textId="1AC7B524" w:rsidR="00E20306" w:rsidRPr="00DE79CB" w:rsidRDefault="00C04640" w:rsidP="00655670">
      <w:pPr>
        <w:pStyle w:val="Plattetekst"/>
        <w:numPr>
          <w:ilvl w:val="0"/>
          <w:numId w:val="5"/>
        </w:numPr>
        <w:ind w:right="239"/>
        <w:rPr>
          <w:sz w:val="18"/>
          <w:szCs w:val="18"/>
          <w:lang w:val="en-US"/>
        </w:rPr>
      </w:pPr>
      <w:r w:rsidRPr="00DE79CB">
        <w:rPr>
          <w:sz w:val="18"/>
          <w:szCs w:val="18"/>
          <w:lang w:val="en-GB"/>
        </w:rPr>
        <w:t>government bodies and organisations in which the government is the sole or majority shareholder;</w:t>
      </w:r>
    </w:p>
    <w:p w14:paraId="7345624D" w14:textId="4268B932" w:rsidR="00E20306" w:rsidRPr="00DE79CB" w:rsidRDefault="00C04640" w:rsidP="00655670">
      <w:pPr>
        <w:pStyle w:val="Plattetekst"/>
        <w:numPr>
          <w:ilvl w:val="0"/>
          <w:numId w:val="5"/>
        </w:numPr>
        <w:ind w:right="239"/>
        <w:rPr>
          <w:sz w:val="18"/>
          <w:szCs w:val="18"/>
        </w:rPr>
      </w:pPr>
      <w:r w:rsidRPr="00DE79CB">
        <w:rPr>
          <w:sz w:val="18"/>
          <w:szCs w:val="18"/>
          <w:lang w:val="en-GB"/>
        </w:rPr>
        <w:t>intergovernmental organisations;</w:t>
      </w:r>
    </w:p>
    <w:p w14:paraId="5BDC6467" w14:textId="1682958E" w:rsidR="00C04640" w:rsidRPr="00DE79CB" w:rsidRDefault="00C04640" w:rsidP="00655670">
      <w:pPr>
        <w:pStyle w:val="Plattetekst"/>
        <w:numPr>
          <w:ilvl w:val="0"/>
          <w:numId w:val="5"/>
        </w:numPr>
        <w:ind w:right="239"/>
        <w:rPr>
          <w:sz w:val="18"/>
          <w:szCs w:val="18"/>
          <w:lang w:val="en-US"/>
        </w:rPr>
      </w:pPr>
      <w:r w:rsidRPr="00DE79CB">
        <w:rPr>
          <w:sz w:val="18"/>
          <w:szCs w:val="18"/>
          <w:lang w:val="en-GB"/>
        </w:rPr>
        <w:t>organisations submitting an application as or on behalf of a partnership (alliance or consortium).</w:t>
      </w:r>
    </w:p>
    <w:p w14:paraId="5E65F760" w14:textId="77777777" w:rsidR="00C04640" w:rsidRPr="00DE79CB" w:rsidRDefault="00C04640" w:rsidP="00655670">
      <w:pPr>
        <w:pStyle w:val="Plattetekst"/>
        <w:ind w:left="360" w:right="239"/>
        <w:rPr>
          <w:sz w:val="18"/>
          <w:szCs w:val="18"/>
          <w:lang w:val="en-US"/>
        </w:rPr>
      </w:pPr>
    </w:p>
    <w:p w14:paraId="6A7478E8" w14:textId="1C3A75C9" w:rsidR="00A82645" w:rsidRPr="00DE79CB" w:rsidRDefault="008352D2" w:rsidP="00655670">
      <w:pPr>
        <w:pStyle w:val="Plattetekst"/>
        <w:ind w:right="239"/>
        <w:rPr>
          <w:sz w:val="18"/>
          <w:szCs w:val="18"/>
          <w:lang w:val="en-US"/>
        </w:rPr>
      </w:pPr>
      <w:r w:rsidRPr="00DE79CB">
        <w:rPr>
          <w:sz w:val="18"/>
          <w:szCs w:val="18"/>
          <w:lang w:val="en-GB"/>
        </w:rPr>
        <w:t xml:space="preserve">Any individual applicant may qualify for no more than two grants. Where more than two applications are submitted, the third and any subsequent applications received will be rejected </w:t>
      </w:r>
      <w:r w:rsidRPr="00DE79CB">
        <w:rPr>
          <w:sz w:val="18"/>
          <w:szCs w:val="18"/>
          <w:lang w:val="en-GB"/>
        </w:rPr>
        <w:lastRenderedPageBreak/>
        <w:t xml:space="preserve">out of hand and will not be assessed.  </w:t>
      </w:r>
    </w:p>
    <w:p w14:paraId="2599EAC0" w14:textId="77777777" w:rsidR="00164230" w:rsidRPr="00DE79CB" w:rsidRDefault="00164230" w:rsidP="00655670">
      <w:pPr>
        <w:widowControl w:val="0"/>
        <w:autoSpaceDE w:val="0"/>
        <w:autoSpaceDN w:val="0"/>
        <w:adjustRightInd w:val="0"/>
        <w:spacing w:after="0" w:line="240" w:lineRule="auto"/>
        <w:rPr>
          <w:rFonts w:ascii="Verdana" w:eastAsia="Verdana" w:hAnsi="Verdana" w:cs="Verdana"/>
          <w:sz w:val="18"/>
          <w:szCs w:val="18"/>
          <w:lang w:val="en-US"/>
        </w:rPr>
      </w:pPr>
    </w:p>
    <w:p w14:paraId="71500C69" w14:textId="180BB858" w:rsidR="0054638D" w:rsidRPr="00DE79CB" w:rsidRDefault="133B8E71" w:rsidP="00655670">
      <w:pPr>
        <w:spacing w:after="0" w:line="240" w:lineRule="auto"/>
        <w:rPr>
          <w:rFonts w:ascii="Verdana" w:hAnsi="Verdana"/>
          <w:i/>
          <w:sz w:val="18"/>
          <w:szCs w:val="18"/>
          <w:lang w:val="en-US"/>
        </w:rPr>
      </w:pPr>
      <w:r w:rsidRPr="00DE79CB">
        <w:rPr>
          <w:rFonts w:ascii="Verdana" w:eastAsia="Verdana" w:hAnsi="Verdana" w:cs="Verdana"/>
          <w:i/>
          <w:iCs/>
          <w:sz w:val="18"/>
          <w:szCs w:val="18"/>
          <w:lang w:val="en-GB"/>
        </w:rPr>
        <w:t>4.3 Eligible activities</w:t>
      </w:r>
    </w:p>
    <w:p w14:paraId="06B90862" w14:textId="77777777" w:rsidR="0040163C" w:rsidRPr="00DE79CB" w:rsidRDefault="0040163C" w:rsidP="00655670">
      <w:pPr>
        <w:spacing w:after="0" w:line="240" w:lineRule="auto"/>
        <w:rPr>
          <w:rFonts w:ascii="Verdana" w:eastAsia="Verdana" w:hAnsi="Verdana" w:cs="Verdana"/>
          <w:sz w:val="18"/>
          <w:szCs w:val="18"/>
          <w:lang w:val="en-US"/>
        </w:rPr>
      </w:pPr>
    </w:p>
    <w:p w14:paraId="71388629" w14:textId="6219D7C9" w:rsidR="005D2A2E" w:rsidRPr="00DE79CB" w:rsidRDefault="005D2A2E" w:rsidP="00655670">
      <w:pPr>
        <w:spacing w:after="0" w:line="240" w:lineRule="auto"/>
        <w:rPr>
          <w:rFonts w:ascii="Verdana" w:eastAsia="Verdana" w:hAnsi="Verdana" w:cs="Verdana"/>
          <w:i/>
          <w:sz w:val="18"/>
          <w:szCs w:val="18"/>
          <w:lang w:val="en-US"/>
        </w:rPr>
      </w:pPr>
      <w:r w:rsidRPr="00DE79CB">
        <w:rPr>
          <w:rFonts w:ascii="Verdana" w:eastAsia="Verdana" w:hAnsi="Verdana" w:cs="Verdana"/>
          <w:i/>
          <w:iCs/>
          <w:sz w:val="18"/>
          <w:szCs w:val="18"/>
          <w:lang w:val="en-GB"/>
        </w:rPr>
        <w:t>4.3.1 Roles and responsibilities</w:t>
      </w:r>
    </w:p>
    <w:p w14:paraId="207FD233" w14:textId="1F594A93" w:rsidR="005D2A2E" w:rsidRPr="00DE79CB" w:rsidRDefault="005D2A2E"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 xml:space="preserve">The applicant shall use the grant for </w:t>
      </w:r>
      <w:r w:rsidRPr="00DE79CB">
        <w:rPr>
          <w:rFonts w:ascii="Verdana" w:eastAsia="Verdana" w:hAnsi="Verdana" w:cs="Verdana"/>
          <w:i/>
          <w:iCs/>
          <w:sz w:val="18"/>
          <w:szCs w:val="18"/>
          <w:lang w:val="en-GB"/>
        </w:rPr>
        <w:t>each</w:t>
      </w:r>
      <w:r w:rsidRPr="00DE79CB">
        <w:rPr>
          <w:rFonts w:ascii="Verdana" w:eastAsia="Verdana" w:hAnsi="Verdana" w:cs="Verdana"/>
          <w:sz w:val="18"/>
          <w:szCs w:val="18"/>
          <w:lang w:val="en-GB"/>
        </w:rPr>
        <w:t xml:space="preserve"> of the following activities:</w:t>
      </w:r>
    </w:p>
    <w:p w14:paraId="1E1DAD75" w14:textId="794BEEBE" w:rsidR="0027509F" w:rsidRPr="00DE79CB" w:rsidRDefault="0027509F" w:rsidP="00655670">
      <w:pPr>
        <w:pStyle w:val="Lijstalinea"/>
        <w:numPr>
          <w:ilvl w:val="0"/>
          <w:numId w:val="4"/>
        </w:num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providing financial support</w:t>
      </w:r>
      <w:r w:rsidR="00FA0EC7" w:rsidRPr="00DE79CB">
        <w:rPr>
          <w:rFonts w:ascii="Verdana" w:eastAsia="Verdana" w:hAnsi="Verdana" w:cs="Verdana"/>
          <w:sz w:val="18"/>
          <w:szCs w:val="18"/>
          <w:lang w:val="en-GB"/>
        </w:rPr>
        <w:t xml:space="preserve">, </w:t>
      </w:r>
      <w:r w:rsidR="000D7ED4" w:rsidRPr="00DE79CB">
        <w:rPr>
          <w:rFonts w:ascii="Verdana" w:eastAsia="Verdana" w:hAnsi="Verdana" w:cs="Verdana"/>
          <w:sz w:val="18"/>
          <w:szCs w:val="18"/>
          <w:lang w:val="en-GB"/>
        </w:rPr>
        <w:t>on</w:t>
      </w:r>
      <w:r w:rsidR="00FA0EC7" w:rsidRPr="00DE79CB">
        <w:rPr>
          <w:rFonts w:ascii="Verdana" w:eastAsia="Verdana" w:hAnsi="Verdana" w:cs="Verdana"/>
          <w:sz w:val="18"/>
          <w:szCs w:val="18"/>
          <w:lang w:val="en-US"/>
        </w:rPr>
        <w:t xml:space="preserve"> its own </w:t>
      </w:r>
      <w:r w:rsidR="000D7ED4" w:rsidRPr="00DE79CB">
        <w:rPr>
          <w:rFonts w:ascii="Verdana" w:eastAsia="Verdana" w:hAnsi="Verdana" w:cs="Verdana"/>
          <w:sz w:val="18"/>
          <w:szCs w:val="18"/>
          <w:lang w:val="en-US"/>
        </w:rPr>
        <w:t xml:space="preserve">behalf </w:t>
      </w:r>
      <w:r w:rsidR="00FA0EC7" w:rsidRPr="00DE79CB">
        <w:rPr>
          <w:rFonts w:ascii="Verdana" w:eastAsia="Verdana" w:hAnsi="Verdana" w:cs="Verdana"/>
          <w:sz w:val="18"/>
          <w:szCs w:val="18"/>
          <w:lang w:val="en-US"/>
        </w:rPr>
        <w:t>and through a form of support of its choosing,</w:t>
      </w:r>
      <w:r w:rsidRPr="00DE79CB">
        <w:rPr>
          <w:rFonts w:ascii="Verdana" w:eastAsia="Verdana" w:hAnsi="Verdana" w:cs="Verdana"/>
          <w:sz w:val="18"/>
          <w:szCs w:val="18"/>
          <w:lang w:val="en-GB"/>
        </w:rPr>
        <w:t xml:space="preserve"> to partners for service provision and dialogue (section 4.4.1), and</w:t>
      </w:r>
    </w:p>
    <w:p w14:paraId="62AFB961" w14:textId="3094BE2A" w:rsidR="005D2A2E" w:rsidRPr="00DE79CB" w:rsidRDefault="005D2A2E" w:rsidP="00655670">
      <w:pPr>
        <w:pStyle w:val="Lijstalinea"/>
        <w:numPr>
          <w:ilvl w:val="0"/>
          <w:numId w:val="4"/>
        </w:num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 xml:space="preserve">delivering services and conducting dialogue directly (see sections 4.4.2 and 4.4.3), and </w:t>
      </w:r>
    </w:p>
    <w:p w14:paraId="45E58A8C" w14:textId="40D7A0BA" w:rsidR="005D2A2E" w:rsidRPr="00DE79CB" w:rsidRDefault="005D2A2E" w:rsidP="00655670">
      <w:pPr>
        <w:pStyle w:val="Lijstalinea"/>
        <w:numPr>
          <w:ilvl w:val="0"/>
          <w:numId w:val="4"/>
        </w:num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 xml:space="preserve">providing capacity </w:t>
      </w:r>
      <w:r w:rsidR="000D7ED4" w:rsidRPr="00DE79CB">
        <w:rPr>
          <w:rFonts w:ascii="Verdana" w:eastAsia="Verdana" w:hAnsi="Verdana" w:cs="Verdana"/>
          <w:sz w:val="18"/>
          <w:szCs w:val="18"/>
          <w:lang w:val="en-GB"/>
        </w:rPr>
        <w:t xml:space="preserve">strengthening </w:t>
      </w:r>
      <w:r w:rsidRPr="00DE79CB">
        <w:rPr>
          <w:rFonts w:ascii="Verdana" w:eastAsia="Verdana" w:hAnsi="Verdana" w:cs="Verdana"/>
          <w:sz w:val="18"/>
          <w:szCs w:val="18"/>
          <w:lang w:val="en-GB"/>
        </w:rPr>
        <w:t xml:space="preserve">to in-country partners (section 4.4.4). </w:t>
      </w:r>
    </w:p>
    <w:p w14:paraId="1200ECE3" w14:textId="77777777" w:rsidR="005D2A2E" w:rsidRPr="00DE79CB" w:rsidRDefault="005D2A2E" w:rsidP="00655670">
      <w:pPr>
        <w:spacing w:after="0" w:line="240" w:lineRule="auto"/>
        <w:rPr>
          <w:rFonts w:ascii="Verdana" w:eastAsia="Verdana" w:hAnsi="Verdana" w:cs="Verdana"/>
          <w:sz w:val="18"/>
          <w:szCs w:val="18"/>
          <w:lang w:val="en-US"/>
        </w:rPr>
      </w:pPr>
    </w:p>
    <w:p w14:paraId="488C73A4" w14:textId="2919A618" w:rsidR="005D2A2E" w:rsidRPr="00DE79CB" w:rsidRDefault="005D2A2E"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 xml:space="preserve">The provision of financial support </w:t>
      </w:r>
      <w:r w:rsidR="000D7ED4" w:rsidRPr="00DE79CB">
        <w:rPr>
          <w:rFonts w:ascii="Verdana" w:eastAsia="Verdana" w:hAnsi="Verdana" w:cs="Verdana"/>
          <w:sz w:val="18"/>
          <w:szCs w:val="18"/>
          <w:lang w:val="en-GB"/>
        </w:rPr>
        <w:t xml:space="preserve">is only eligible for a grant if the means concerned </w:t>
      </w:r>
      <w:r w:rsidRPr="00DE79CB">
        <w:rPr>
          <w:rFonts w:ascii="Verdana" w:eastAsia="Verdana" w:hAnsi="Verdana" w:cs="Verdana"/>
          <w:sz w:val="18"/>
          <w:szCs w:val="18"/>
          <w:lang w:val="en-GB"/>
        </w:rPr>
        <w:t xml:space="preserve">shall be used exclusively to finance service provision and dialogue activities implemented by partners and may not be used to provide grants to or fund other civil society organisations. </w:t>
      </w:r>
    </w:p>
    <w:p w14:paraId="4F3D36BD" w14:textId="77777777" w:rsidR="005D2A2E" w:rsidRPr="00DE79CB" w:rsidRDefault="005D2A2E" w:rsidP="00655670">
      <w:pPr>
        <w:spacing w:after="0" w:line="240" w:lineRule="auto"/>
        <w:rPr>
          <w:rFonts w:ascii="Verdana" w:eastAsia="Verdana" w:hAnsi="Verdana" w:cs="Verdana"/>
          <w:sz w:val="18"/>
          <w:szCs w:val="18"/>
          <w:lang w:val="en-US"/>
        </w:rPr>
      </w:pPr>
    </w:p>
    <w:p w14:paraId="7A69DA88" w14:textId="27DADF55" w:rsidR="005D2A2E" w:rsidRPr="00DE79CB" w:rsidRDefault="005D2A2E"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 xml:space="preserve">The applicant shall develop and apply its own </w:t>
      </w:r>
      <w:r w:rsidR="000D7ED4" w:rsidRPr="00DE79CB">
        <w:rPr>
          <w:rFonts w:ascii="Verdana" w:eastAsia="Verdana" w:hAnsi="Verdana" w:cs="Verdana"/>
          <w:sz w:val="18"/>
          <w:szCs w:val="18"/>
          <w:lang w:val="en-GB"/>
        </w:rPr>
        <w:t xml:space="preserve">and </w:t>
      </w:r>
      <w:r w:rsidRPr="00DE79CB">
        <w:rPr>
          <w:rFonts w:ascii="Verdana" w:eastAsia="Verdana" w:hAnsi="Verdana" w:cs="Verdana"/>
          <w:sz w:val="18"/>
          <w:szCs w:val="18"/>
          <w:lang w:val="en-GB"/>
        </w:rPr>
        <w:t xml:space="preserve">transparent selection mechanisms for the assessment and selection of </w:t>
      </w:r>
      <w:r w:rsidR="000D7ED4" w:rsidRPr="00DE79CB">
        <w:rPr>
          <w:rFonts w:ascii="Verdana" w:eastAsia="Verdana" w:hAnsi="Verdana" w:cs="Verdana"/>
          <w:sz w:val="18"/>
          <w:szCs w:val="18"/>
          <w:lang w:val="en-GB"/>
        </w:rPr>
        <w:t>(</w:t>
      </w:r>
      <w:r w:rsidRPr="00DE79CB">
        <w:rPr>
          <w:rFonts w:ascii="Verdana" w:eastAsia="Verdana" w:hAnsi="Verdana" w:cs="Verdana"/>
          <w:sz w:val="18"/>
          <w:szCs w:val="18"/>
          <w:lang w:val="en-GB"/>
        </w:rPr>
        <w:t>in-country</w:t>
      </w:r>
      <w:r w:rsidR="000D7ED4" w:rsidRPr="00DE79CB">
        <w:rPr>
          <w:rFonts w:ascii="Verdana" w:eastAsia="Verdana" w:hAnsi="Verdana" w:cs="Verdana"/>
          <w:sz w:val="18"/>
          <w:szCs w:val="18"/>
          <w:lang w:val="en-GB"/>
        </w:rPr>
        <w:t>)</w:t>
      </w:r>
      <w:r w:rsidRPr="00DE79CB">
        <w:rPr>
          <w:rFonts w:ascii="Verdana" w:eastAsia="Verdana" w:hAnsi="Verdana" w:cs="Verdana"/>
          <w:sz w:val="18"/>
          <w:szCs w:val="18"/>
          <w:lang w:val="en-GB"/>
        </w:rPr>
        <w:t xml:space="preserve"> partners to receive financial support or capacity </w:t>
      </w:r>
      <w:r w:rsidR="000D7ED4" w:rsidRPr="00DE79CB">
        <w:rPr>
          <w:rFonts w:ascii="Verdana" w:eastAsia="Verdana" w:hAnsi="Verdana" w:cs="Verdana"/>
          <w:sz w:val="18"/>
          <w:szCs w:val="18"/>
          <w:lang w:val="en-GB"/>
        </w:rPr>
        <w:t>strengthening</w:t>
      </w:r>
      <w:r w:rsidRPr="00DE79CB">
        <w:rPr>
          <w:rFonts w:ascii="Verdana" w:eastAsia="Verdana" w:hAnsi="Verdana" w:cs="Verdana"/>
          <w:sz w:val="18"/>
          <w:szCs w:val="18"/>
          <w:lang w:val="en-GB"/>
        </w:rPr>
        <w:t xml:space="preserve"> under this grant programme. These mechanisms must set out clear parameters and guidance. The applicant shall allow </w:t>
      </w:r>
      <w:proofErr w:type="spellStart"/>
      <w:r w:rsidRPr="00DE79CB">
        <w:rPr>
          <w:rFonts w:ascii="Verdana" w:eastAsia="Verdana" w:hAnsi="Verdana" w:cs="Verdana"/>
          <w:sz w:val="18"/>
          <w:szCs w:val="18"/>
          <w:lang w:val="en-GB"/>
        </w:rPr>
        <w:t>allow</w:t>
      </w:r>
      <w:proofErr w:type="spellEnd"/>
      <w:r w:rsidRPr="00DE79CB">
        <w:rPr>
          <w:rFonts w:ascii="Verdana" w:eastAsia="Verdana" w:hAnsi="Verdana" w:cs="Verdana"/>
          <w:sz w:val="18"/>
          <w:szCs w:val="18"/>
          <w:lang w:val="en-GB"/>
        </w:rPr>
        <w:t xml:space="preserve"> partners sufficient latitude to make their own choices in line with the local context.</w:t>
      </w:r>
    </w:p>
    <w:p w14:paraId="702C0008" w14:textId="77777777" w:rsidR="005D2A2E" w:rsidRPr="00DE79CB" w:rsidRDefault="005D2A2E" w:rsidP="00655670">
      <w:pPr>
        <w:spacing w:after="0" w:line="240" w:lineRule="auto"/>
        <w:rPr>
          <w:rFonts w:ascii="Verdana" w:eastAsia="Verdana" w:hAnsi="Verdana" w:cs="Verdana"/>
          <w:i/>
          <w:iCs/>
          <w:sz w:val="18"/>
          <w:szCs w:val="18"/>
          <w:lang w:val="en-US"/>
        </w:rPr>
      </w:pPr>
    </w:p>
    <w:p w14:paraId="7A3B0E77" w14:textId="0AF9C09E" w:rsidR="004374E1" w:rsidRPr="00DE79CB" w:rsidRDefault="004374E1" w:rsidP="00655670">
      <w:pPr>
        <w:spacing w:after="0" w:line="240" w:lineRule="auto"/>
        <w:rPr>
          <w:rFonts w:ascii="Verdana" w:eastAsia="Verdana" w:hAnsi="Verdana" w:cs="Verdana"/>
          <w:i/>
          <w:iCs/>
          <w:sz w:val="18"/>
          <w:szCs w:val="18"/>
          <w:lang w:val="en-US"/>
        </w:rPr>
      </w:pPr>
      <w:r w:rsidRPr="00DE79CB">
        <w:rPr>
          <w:rFonts w:ascii="Verdana" w:eastAsia="Verdana" w:hAnsi="Verdana" w:cs="Verdana"/>
          <w:i/>
          <w:iCs/>
          <w:sz w:val="18"/>
          <w:szCs w:val="18"/>
          <w:lang w:val="en-GB"/>
        </w:rPr>
        <w:t>4.3.2 Substantive requirements</w:t>
      </w:r>
    </w:p>
    <w:p w14:paraId="7A8EC971" w14:textId="33C65F7D" w:rsidR="00EF08EE" w:rsidRPr="00DE79CB" w:rsidRDefault="133B8E71"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 xml:space="preserve">To </w:t>
      </w:r>
      <w:r w:rsidR="005A6DEA" w:rsidRPr="00DE79CB">
        <w:rPr>
          <w:rFonts w:ascii="Verdana" w:eastAsia="Verdana" w:hAnsi="Verdana" w:cs="Verdana"/>
          <w:sz w:val="18"/>
          <w:szCs w:val="18"/>
          <w:lang w:val="en-GB"/>
        </w:rPr>
        <w:t xml:space="preserve">be able to </w:t>
      </w:r>
      <w:r w:rsidRPr="00DE79CB">
        <w:rPr>
          <w:rFonts w:ascii="Verdana" w:eastAsia="Verdana" w:hAnsi="Verdana" w:cs="Verdana"/>
          <w:sz w:val="18"/>
          <w:szCs w:val="18"/>
          <w:lang w:val="en-GB"/>
        </w:rPr>
        <w:t xml:space="preserve">qualify for a grant under this programme, the application must relate to a coherent and holistic set of planned activities, hereinafter referred to as a project. These activities must contribute to the </w:t>
      </w:r>
      <w:r w:rsidRPr="00DE79CB">
        <w:rPr>
          <w:rStyle w:val="cf01"/>
          <w:rFonts w:ascii="Verdana" w:hAnsi="Verdana" w:cs="Verdana"/>
          <w:lang w:val="en-GB"/>
        </w:rPr>
        <w:t xml:space="preserve">promotion of </w:t>
      </w:r>
      <w:r w:rsidR="00487EC6" w:rsidRPr="00DE79CB">
        <w:rPr>
          <w:rStyle w:val="cf01"/>
          <w:rFonts w:ascii="Verdana" w:hAnsi="Verdana" w:cs="Verdana"/>
          <w:lang w:val="en-GB"/>
        </w:rPr>
        <w:t xml:space="preserve">sustainable </w:t>
      </w:r>
      <w:r w:rsidRPr="00DE79CB">
        <w:rPr>
          <w:rStyle w:val="cf01"/>
          <w:rFonts w:ascii="Verdana" w:hAnsi="Verdana" w:cs="Verdana"/>
          <w:lang w:val="en-GB"/>
        </w:rPr>
        <w:t xml:space="preserve">and fair trade in one or more value chains selected by the applicant, through strengthening local civil society organisations. </w:t>
      </w:r>
      <w:r w:rsidR="00882857" w:rsidRPr="00DE79CB">
        <w:rPr>
          <w:rStyle w:val="cf01"/>
          <w:rFonts w:ascii="Verdana" w:hAnsi="Verdana" w:cs="Verdana"/>
          <w:lang w:val="en-GB"/>
        </w:rPr>
        <w:t xml:space="preserve">For the </w:t>
      </w:r>
      <w:r w:rsidR="003C297D" w:rsidRPr="00DE79CB">
        <w:rPr>
          <w:rStyle w:val="cf01"/>
          <w:rFonts w:ascii="Verdana" w:hAnsi="Verdana" w:cs="Verdana"/>
          <w:lang w:val="en-GB"/>
        </w:rPr>
        <w:t xml:space="preserve">purpose </w:t>
      </w:r>
      <w:r w:rsidR="00882857" w:rsidRPr="00DE79CB">
        <w:rPr>
          <w:rStyle w:val="cf01"/>
          <w:rFonts w:ascii="Verdana" w:hAnsi="Verdana" w:cs="Verdana"/>
          <w:lang w:val="en-GB"/>
        </w:rPr>
        <w:t xml:space="preserve">of </w:t>
      </w:r>
      <w:r w:rsidRPr="00DE79CB">
        <w:rPr>
          <w:rStyle w:val="cf01"/>
          <w:rFonts w:ascii="Verdana" w:hAnsi="Verdana" w:cs="Verdana"/>
          <w:lang w:val="en-GB"/>
        </w:rPr>
        <w:t>achiev</w:t>
      </w:r>
      <w:r w:rsidR="00882857" w:rsidRPr="00DE79CB">
        <w:rPr>
          <w:rStyle w:val="cf01"/>
          <w:rFonts w:ascii="Verdana" w:hAnsi="Verdana" w:cs="Verdana"/>
          <w:lang w:val="en-GB"/>
        </w:rPr>
        <w:t>ing</w:t>
      </w:r>
      <w:r w:rsidRPr="00DE79CB">
        <w:rPr>
          <w:rStyle w:val="cf01"/>
          <w:rFonts w:ascii="Verdana" w:hAnsi="Verdana" w:cs="Verdana"/>
          <w:lang w:val="en-GB"/>
        </w:rPr>
        <w:t xml:space="preserve"> the objectives of the grant </w:t>
      </w:r>
      <w:r w:rsidR="00882857" w:rsidRPr="00DE79CB">
        <w:rPr>
          <w:rStyle w:val="cf01"/>
          <w:rFonts w:ascii="Verdana" w:hAnsi="Verdana" w:cs="Verdana"/>
          <w:lang w:val="en-GB"/>
        </w:rPr>
        <w:t>programme</w:t>
      </w:r>
      <w:r w:rsidR="00657A2C" w:rsidRPr="00DE79CB">
        <w:rPr>
          <w:rStyle w:val="cf01"/>
          <w:rFonts w:ascii="Verdana" w:hAnsi="Verdana" w:cs="Verdana"/>
          <w:lang w:val="en-GB"/>
        </w:rPr>
        <w:t xml:space="preserve"> (see section 4.1)</w:t>
      </w:r>
      <w:r w:rsidRPr="00DE79CB">
        <w:rPr>
          <w:rStyle w:val="cf01"/>
          <w:rFonts w:ascii="Verdana" w:hAnsi="Verdana" w:cs="Verdana"/>
          <w:lang w:val="en-GB"/>
        </w:rPr>
        <w:t xml:space="preserve">, any such activities must also be </w:t>
      </w:r>
      <w:r w:rsidR="00457D06" w:rsidRPr="00DE79CB">
        <w:rPr>
          <w:rStyle w:val="cf01"/>
          <w:rFonts w:ascii="Verdana" w:hAnsi="Verdana" w:cs="Verdana"/>
          <w:lang w:val="en-GB"/>
        </w:rPr>
        <w:t xml:space="preserve">directed </w:t>
      </w:r>
      <w:r w:rsidRPr="00DE79CB">
        <w:rPr>
          <w:rStyle w:val="cf01"/>
          <w:rFonts w:ascii="Verdana" w:hAnsi="Verdana" w:cs="Verdana"/>
          <w:lang w:val="en-GB"/>
        </w:rPr>
        <w:t>to value chains that are relevant to the</w:t>
      </w:r>
      <w:r w:rsidR="00457D06" w:rsidRPr="00DE79CB">
        <w:rPr>
          <w:rStyle w:val="cf01"/>
          <w:rFonts w:ascii="Verdana" w:hAnsi="Verdana" w:cs="Verdana"/>
          <w:lang w:val="en-GB"/>
        </w:rPr>
        <w:t xml:space="preserve"> target countries and the</w:t>
      </w:r>
      <w:r w:rsidRPr="00DE79CB">
        <w:rPr>
          <w:rStyle w:val="cf01"/>
          <w:rFonts w:ascii="Verdana" w:hAnsi="Verdana" w:cs="Verdana"/>
          <w:lang w:val="en-GB"/>
        </w:rPr>
        <w:t xml:space="preserve"> Netherlands. Applicants and </w:t>
      </w:r>
      <w:r w:rsidR="00882857" w:rsidRPr="00DE79CB">
        <w:rPr>
          <w:rStyle w:val="cf01"/>
          <w:rFonts w:ascii="Verdana" w:hAnsi="Verdana" w:cs="Verdana"/>
          <w:lang w:val="en-GB"/>
        </w:rPr>
        <w:t xml:space="preserve">(in-country) </w:t>
      </w:r>
      <w:r w:rsidRPr="00DE79CB">
        <w:rPr>
          <w:rStyle w:val="cf01"/>
          <w:rFonts w:ascii="Verdana" w:hAnsi="Verdana" w:cs="Verdana"/>
          <w:lang w:val="en-GB"/>
        </w:rPr>
        <w:t>partners in each fulfil their respective roles within the value chain and together contribute to sustainability across the entire chain.</w:t>
      </w:r>
    </w:p>
    <w:p w14:paraId="7064F061" w14:textId="77777777" w:rsidR="006D517A" w:rsidRPr="00DE79CB" w:rsidRDefault="006D517A" w:rsidP="00655670">
      <w:pPr>
        <w:spacing w:after="0" w:line="240" w:lineRule="auto"/>
        <w:rPr>
          <w:rFonts w:ascii="Verdana" w:eastAsia="Verdana" w:hAnsi="Verdana" w:cs="Verdana"/>
          <w:sz w:val="18"/>
          <w:szCs w:val="18"/>
          <w:lang w:val="en-US"/>
        </w:rPr>
      </w:pPr>
    </w:p>
    <w:p w14:paraId="61116E04" w14:textId="77777777" w:rsidR="00AA1A09" w:rsidRPr="00DE79CB" w:rsidRDefault="00AA1A09" w:rsidP="00655670">
      <w:pPr>
        <w:spacing w:after="0" w:line="240" w:lineRule="auto"/>
        <w:rPr>
          <w:rFonts w:ascii="Verdana" w:eastAsia="Verdana" w:hAnsi="Verdana" w:cs="Verdana"/>
          <w:sz w:val="18"/>
          <w:szCs w:val="18"/>
          <w:lang w:val="en-US"/>
        </w:rPr>
      </w:pPr>
    </w:p>
    <w:p w14:paraId="0DE5AC94" w14:textId="00583C8E" w:rsidR="00553BC5" w:rsidRPr="00DE79CB" w:rsidRDefault="00553BC5" w:rsidP="00655670">
      <w:pPr>
        <w:spacing w:after="0" w:line="240" w:lineRule="auto"/>
        <w:rPr>
          <w:rFonts w:ascii="Verdana" w:hAnsi="Verdana"/>
          <w:sz w:val="18"/>
          <w:szCs w:val="18"/>
          <w:lang w:val="en-US"/>
        </w:rPr>
      </w:pPr>
      <w:r w:rsidRPr="00DE79CB">
        <w:rPr>
          <w:rFonts w:ascii="Verdana" w:hAnsi="Verdana"/>
          <w:sz w:val="18"/>
          <w:szCs w:val="18"/>
          <w:lang w:val="en-GB"/>
        </w:rPr>
        <w:t>Eligible activities must involve at least:</w:t>
      </w:r>
    </w:p>
    <w:p w14:paraId="50897282" w14:textId="59F6F4D5" w:rsidR="000813D4" w:rsidRPr="00DE79CB" w:rsidRDefault="00F17AF0" w:rsidP="000813D4">
      <w:pPr>
        <w:pStyle w:val="Lijstalinea"/>
        <w:numPr>
          <w:ilvl w:val="0"/>
          <w:numId w:val="12"/>
        </w:num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A</w:t>
      </w:r>
      <w:r w:rsidR="00C20033" w:rsidRPr="00DE79CB">
        <w:rPr>
          <w:rFonts w:ascii="Verdana" w:eastAsia="Verdana" w:hAnsi="Verdana" w:cs="Verdana"/>
          <w:sz w:val="18"/>
          <w:szCs w:val="18"/>
          <w:lang w:val="en-GB"/>
        </w:rPr>
        <w:t xml:space="preserve"> project consisting exclusively of financing activities (section 4.4.1), service provision (section 4.4.2), dialogue (4.4.3) </w:t>
      </w:r>
      <w:r w:rsidR="00C20033" w:rsidRPr="00DE79CB">
        <w:rPr>
          <w:rFonts w:ascii="Verdana" w:eastAsia="Verdana" w:hAnsi="Verdana" w:cs="Verdana"/>
          <w:i/>
          <w:iCs/>
          <w:sz w:val="18"/>
          <w:szCs w:val="18"/>
          <w:lang w:val="en-GB"/>
        </w:rPr>
        <w:t>and</w:t>
      </w:r>
      <w:r w:rsidR="00C20033" w:rsidRPr="00DE79CB">
        <w:rPr>
          <w:rFonts w:ascii="Verdana" w:eastAsia="Verdana" w:hAnsi="Verdana" w:cs="Verdana"/>
          <w:sz w:val="18"/>
          <w:szCs w:val="18"/>
          <w:lang w:val="en-GB"/>
        </w:rPr>
        <w:t xml:space="preserve"> capacity-</w:t>
      </w:r>
      <w:r w:rsidR="003C297D" w:rsidRPr="00DE79CB">
        <w:rPr>
          <w:rFonts w:ascii="Verdana" w:eastAsia="Verdana" w:hAnsi="Verdana" w:cs="Verdana"/>
          <w:sz w:val="18"/>
          <w:szCs w:val="18"/>
          <w:lang w:val="en-GB"/>
        </w:rPr>
        <w:t>strengthening</w:t>
      </w:r>
      <w:r w:rsidRPr="00DE79CB">
        <w:rPr>
          <w:rFonts w:ascii="Verdana" w:eastAsia="Verdana" w:hAnsi="Verdana" w:cs="Verdana"/>
          <w:sz w:val="18"/>
          <w:szCs w:val="18"/>
          <w:lang w:val="en-GB"/>
        </w:rPr>
        <w:t xml:space="preserve"> </w:t>
      </w:r>
      <w:r w:rsidR="00C20033" w:rsidRPr="00DE79CB">
        <w:rPr>
          <w:rFonts w:ascii="Verdana" w:eastAsia="Verdana" w:hAnsi="Verdana" w:cs="Verdana"/>
          <w:sz w:val="18"/>
          <w:szCs w:val="18"/>
          <w:lang w:val="en-GB"/>
        </w:rPr>
        <w:t>activities (4.4.4). The project must constitute a holistic combination of all four activity types;</w:t>
      </w:r>
    </w:p>
    <w:p w14:paraId="1E866D36" w14:textId="2E312BA2" w:rsidR="00705075" w:rsidRPr="00DE79CB" w:rsidRDefault="00705075" w:rsidP="00655670">
      <w:pPr>
        <w:pStyle w:val="Lijstalinea"/>
        <w:numPr>
          <w:ilvl w:val="0"/>
          <w:numId w:val="12"/>
        </w:numPr>
        <w:spacing w:after="0" w:line="240" w:lineRule="auto"/>
        <w:rPr>
          <w:rFonts w:ascii="Verdana" w:hAnsi="Verdana"/>
          <w:sz w:val="18"/>
          <w:szCs w:val="18"/>
          <w:lang w:val="en-US"/>
        </w:rPr>
      </w:pPr>
      <w:r w:rsidRPr="00DE79CB">
        <w:rPr>
          <w:rFonts w:ascii="Verdana" w:eastAsia="Verdana" w:hAnsi="Verdana" w:cs="Verdana"/>
          <w:sz w:val="18"/>
          <w:szCs w:val="18"/>
          <w:lang w:val="en-GB"/>
        </w:rPr>
        <w:t xml:space="preserve">The project must focus on one </w:t>
      </w:r>
      <w:r w:rsidR="00F17AF0" w:rsidRPr="00DE79CB">
        <w:rPr>
          <w:rFonts w:ascii="Verdana" w:eastAsia="Verdana" w:hAnsi="Verdana" w:cs="Verdana"/>
          <w:sz w:val="18"/>
          <w:szCs w:val="18"/>
          <w:lang w:val="en-GB"/>
        </w:rPr>
        <w:t xml:space="preserve">or two </w:t>
      </w:r>
      <w:r w:rsidRPr="00DE79CB">
        <w:rPr>
          <w:rFonts w:ascii="Verdana" w:eastAsia="Verdana" w:hAnsi="Verdana" w:cs="Verdana"/>
          <w:sz w:val="18"/>
          <w:szCs w:val="18"/>
          <w:lang w:val="en-GB"/>
        </w:rPr>
        <w:t xml:space="preserve">of the </w:t>
      </w:r>
      <w:r w:rsidR="00FA0EC7" w:rsidRPr="00DE79CB">
        <w:rPr>
          <w:rFonts w:ascii="Verdana" w:eastAsia="Verdana" w:hAnsi="Verdana" w:cs="Verdana"/>
          <w:sz w:val="18"/>
          <w:szCs w:val="18"/>
          <w:lang w:val="en-GB"/>
        </w:rPr>
        <w:t xml:space="preserve">focus sectors as mentioned in section 4.1.3. </w:t>
      </w:r>
      <w:r w:rsidRPr="00DE79CB">
        <w:rPr>
          <w:rFonts w:ascii="Verdana" w:eastAsia="Verdana" w:hAnsi="Verdana" w:cs="Verdana"/>
          <w:sz w:val="18"/>
          <w:szCs w:val="18"/>
          <w:lang w:val="en-GB"/>
        </w:rPr>
        <w:t>Activities relating to two different sectors may also be eligible, provided that the applicant can convincingly demonstrate its ability to address both sectors through the same type of activities</w:t>
      </w:r>
      <w:r w:rsidR="00F17AF0" w:rsidRPr="00DE79CB">
        <w:rPr>
          <w:rFonts w:ascii="Verdana" w:eastAsia="Verdana" w:hAnsi="Verdana" w:cs="Verdana"/>
          <w:sz w:val="18"/>
          <w:szCs w:val="18"/>
          <w:lang w:val="en-GB"/>
        </w:rPr>
        <w:t xml:space="preserve"> </w:t>
      </w:r>
      <w:r w:rsidRPr="00DE79CB">
        <w:rPr>
          <w:rFonts w:ascii="Verdana" w:eastAsia="Verdana" w:hAnsi="Verdana" w:cs="Verdana"/>
          <w:sz w:val="18"/>
          <w:szCs w:val="18"/>
          <w:lang w:val="en-GB"/>
        </w:rPr>
        <w:t xml:space="preserve"> </w:t>
      </w:r>
      <w:r w:rsidR="00F17AF0" w:rsidRPr="00DE79CB">
        <w:rPr>
          <w:rFonts w:ascii="Verdana" w:eastAsia="Verdana" w:hAnsi="Verdana" w:cs="Verdana"/>
          <w:sz w:val="18"/>
          <w:szCs w:val="18"/>
          <w:lang w:val="en-GB"/>
        </w:rPr>
        <w:t>(</w:t>
      </w:r>
      <w:r w:rsidRPr="00DE79CB">
        <w:rPr>
          <w:rFonts w:ascii="Verdana" w:eastAsia="Verdana" w:hAnsi="Verdana" w:cs="Verdana"/>
          <w:sz w:val="18"/>
          <w:szCs w:val="18"/>
          <w:lang w:val="en-GB"/>
        </w:rPr>
        <w:t>e.g. because they span the same geographical area and involve, in full or part, the same stakeholders</w:t>
      </w:r>
      <w:r w:rsidR="00F17AF0" w:rsidRPr="00DE79CB">
        <w:rPr>
          <w:rFonts w:ascii="Verdana" w:eastAsia="Verdana" w:hAnsi="Verdana" w:cs="Verdana"/>
          <w:sz w:val="18"/>
          <w:szCs w:val="18"/>
          <w:lang w:val="en-GB"/>
        </w:rPr>
        <w:t>)</w:t>
      </w:r>
      <w:r w:rsidRPr="00DE79CB">
        <w:rPr>
          <w:rFonts w:ascii="Verdana" w:eastAsia="Verdana" w:hAnsi="Verdana" w:cs="Verdana"/>
          <w:sz w:val="18"/>
          <w:szCs w:val="18"/>
          <w:lang w:val="en-GB"/>
        </w:rPr>
        <w:t>;</w:t>
      </w:r>
    </w:p>
    <w:p w14:paraId="7346B05F" w14:textId="20B69CB2" w:rsidR="00553BC5" w:rsidRPr="00DE79CB" w:rsidRDefault="00553BC5" w:rsidP="00655670">
      <w:pPr>
        <w:pStyle w:val="Lijstalinea"/>
        <w:numPr>
          <w:ilvl w:val="0"/>
          <w:numId w:val="12"/>
        </w:numPr>
        <w:spacing w:after="0" w:line="240" w:lineRule="auto"/>
        <w:rPr>
          <w:rFonts w:ascii="Verdana" w:hAnsi="Verdana"/>
          <w:sz w:val="18"/>
          <w:szCs w:val="18"/>
          <w:lang w:val="en-US"/>
        </w:rPr>
      </w:pPr>
      <w:bookmarkStart w:id="10" w:name="_Hlk128133743"/>
      <w:r w:rsidRPr="00DE79CB">
        <w:rPr>
          <w:rFonts w:ascii="Verdana" w:eastAsia="Verdana" w:hAnsi="Verdana" w:cs="Verdana"/>
          <w:sz w:val="18"/>
          <w:szCs w:val="18"/>
          <w:lang w:val="en-GB"/>
        </w:rPr>
        <w:t>The project must be implemented in at least one and no more than three target countries. Projects targeting two or three countries must be confined to a single geographical region</w:t>
      </w:r>
      <w:r w:rsidR="00CA403F" w:rsidRPr="00DE79CB">
        <w:rPr>
          <w:rStyle w:val="Voetnootmarkering"/>
          <w:rFonts w:ascii="Verdana" w:eastAsia="Verdana" w:hAnsi="Verdana" w:cs="Verdana"/>
          <w:sz w:val="18"/>
          <w:szCs w:val="18"/>
          <w:lang w:val="en-GB"/>
        </w:rPr>
        <w:footnoteReference w:id="17"/>
      </w:r>
      <w:r w:rsidRPr="00DE79CB">
        <w:rPr>
          <w:rFonts w:ascii="Verdana" w:eastAsia="Verdana" w:hAnsi="Verdana" w:cs="Verdana"/>
          <w:sz w:val="18"/>
          <w:szCs w:val="18"/>
          <w:lang w:val="en-GB"/>
        </w:rPr>
        <w:t>. The project must therefore focus on one to three production countries, being the target countries under this programme, each of which is relevant to the selected primary value chain, and for which the primary market for the products in that value chain is the Netherlands or Europe.</w:t>
      </w:r>
    </w:p>
    <w:p w14:paraId="7FA1A61C" w14:textId="2BBEE75B" w:rsidR="007744C9" w:rsidRPr="00DE79CB" w:rsidRDefault="007744C9" w:rsidP="00655670">
      <w:pPr>
        <w:pStyle w:val="Lijstalinea"/>
        <w:numPr>
          <w:ilvl w:val="0"/>
          <w:numId w:val="12"/>
        </w:numPr>
        <w:spacing w:after="0" w:line="240" w:lineRule="auto"/>
        <w:rPr>
          <w:rFonts w:ascii="Verdana" w:hAnsi="Verdana"/>
          <w:sz w:val="18"/>
          <w:szCs w:val="18"/>
          <w:lang w:val="en-US"/>
        </w:rPr>
      </w:pPr>
      <w:r w:rsidRPr="00DE79CB">
        <w:rPr>
          <w:rFonts w:ascii="Verdana" w:eastAsia="Verdana" w:hAnsi="Verdana" w:cs="Verdana"/>
          <w:sz w:val="18"/>
          <w:szCs w:val="18"/>
          <w:lang w:val="en-GB"/>
        </w:rPr>
        <w:t>Per target country: an effort dedicated on the focus sector(s) and value chain(s) on the list with Dutch focus sectors per target country as listed in appendix 1 to these policy rules.</w:t>
      </w:r>
    </w:p>
    <w:p w14:paraId="7C4B9C19" w14:textId="1FA1216F" w:rsidR="007744C9" w:rsidRPr="00DE79CB" w:rsidRDefault="007744C9" w:rsidP="007744C9">
      <w:pPr>
        <w:pStyle w:val="Lijstalinea"/>
        <w:numPr>
          <w:ilvl w:val="0"/>
          <w:numId w:val="12"/>
        </w:numPr>
        <w:spacing w:after="0" w:line="240" w:lineRule="auto"/>
        <w:rPr>
          <w:rFonts w:ascii="Verdana" w:hAnsi="Verdana"/>
          <w:sz w:val="18"/>
          <w:szCs w:val="18"/>
          <w:lang w:val="en-US"/>
        </w:rPr>
      </w:pPr>
      <w:r w:rsidRPr="00DE79CB">
        <w:rPr>
          <w:rFonts w:ascii="Verdana" w:hAnsi="Verdana"/>
          <w:sz w:val="18"/>
          <w:szCs w:val="18"/>
          <w:lang w:val="en-GB"/>
        </w:rPr>
        <w:t xml:space="preserve">Within the selected focus sector(s), the project must focus on a value chain. Activities relating to more than one value chain may also be eligible, provided that the applicant can </w:t>
      </w:r>
      <w:r w:rsidR="00F17AF0" w:rsidRPr="00DE79CB">
        <w:rPr>
          <w:rFonts w:ascii="Verdana" w:hAnsi="Verdana"/>
          <w:sz w:val="18"/>
          <w:szCs w:val="18"/>
          <w:lang w:val="en-GB"/>
        </w:rPr>
        <w:t xml:space="preserve">convincingly </w:t>
      </w:r>
      <w:r w:rsidRPr="00DE79CB">
        <w:rPr>
          <w:rFonts w:ascii="Verdana" w:hAnsi="Verdana"/>
          <w:sz w:val="18"/>
          <w:szCs w:val="18"/>
          <w:lang w:val="en-GB"/>
        </w:rPr>
        <w:t xml:space="preserve">demonstrate that the relevant value chains are clearly linked </w:t>
      </w:r>
      <w:r w:rsidR="00F17AF0" w:rsidRPr="00DE79CB">
        <w:rPr>
          <w:rFonts w:ascii="Verdana" w:hAnsi="Verdana"/>
          <w:sz w:val="18"/>
          <w:szCs w:val="18"/>
          <w:lang w:val="en-GB"/>
        </w:rPr>
        <w:t>(</w:t>
      </w:r>
      <w:r w:rsidRPr="00DE79CB">
        <w:rPr>
          <w:rFonts w:ascii="Verdana" w:hAnsi="Verdana"/>
          <w:sz w:val="18"/>
          <w:szCs w:val="18"/>
          <w:lang w:val="en-GB"/>
        </w:rPr>
        <w:t>e.g. because the same regulatory frameworks and stakeholders apply to multiple raw materials, or because one product constitutes a by-product of another</w:t>
      </w:r>
      <w:r w:rsidR="00F17AF0" w:rsidRPr="00DE79CB">
        <w:rPr>
          <w:rFonts w:ascii="Verdana" w:hAnsi="Verdana"/>
          <w:sz w:val="18"/>
          <w:szCs w:val="18"/>
          <w:lang w:val="en-GB"/>
        </w:rPr>
        <w:t>)</w:t>
      </w:r>
      <w:r w:rsidRPr="00DE79CB">
        <w:rPr>
          <w:rFonts w:ascii="Verdana" w:hAnsi="Verdana"/>
          <w:sz w:val="18"/>
          <w:szCs w:val="18"/>
          <w:lang w:val="en-GB"/>
        </w:rPr>
        <w:t xml:space="preserve">. In such cases, the applicant must </w:t>
      </w:r>
      <w:r w:rsidR="00F17AF0" w:rsidRPr="00DE79CB">
        <w:rPr>
          <w:rFonts w:ascii="Verdana" w:hAnsi="Verdana"/>
          <w:sz w:val="18"/>
          <w:szCs w:val="18"/>
          <w:lang w:val="en-GB"/>
        </w:rPr>
        <w:t xml:space="preserve">also </w:t>
      </w:r>
      <w:r w:rsidRPr="00DE79CB">
        <w:rPr>
          <w:rFonts w:ascii="Verdana" w:hAnsi="Verdana"/>
          <w:sz w:val="18"/>
          <w:szCs w:val="18"/>
          <w:lang w:val="en-GB"/>
        </w:rPr>
        <w:t xml:space="preserve">identify the </w:t>
      </w:r>
      <w:r w:rsidRPr="00DE79CB">
        <w:rPr>
          <w:rFonts w:ascii="Verdana" w:hAnsi="Verdana"/>
          <w:i/>
          <w:iCs/>
          <w:sz w:val="18"/>
          <w:szCs w:val="18"/>
          <w:lang w:val="en-GB"/>
        </w:rPr>
        <w:t>primary</w:t>
      </w:r>
      <w:r w:rsidRPr="00DE79CB">
        <w:rPr>
          <w:rFonts w:ascii="Verdana" w:hAnsi="Verdana"/>
          <w:sz w:val="18"/>
          <w:szCs w:val="18"/>
          <w:lang w:val="en-GB"/>
        </w:rPr>
        <w:t xml:space="preserve"> value chain within the project, defined as the value chain to which the majority of activities relate, and what the secondary/other value chains are. Applications focusing on a single value chain only have a primary value chain.</w:t>
      </w:r>
    </w:p>
    <w:p w14:paraId="7D8595F7" w14:textId="1B73D040" w:rsidR="007744C9" w:rsidRPr="00DE79CB" w:rsidRDefault="007744C9" w:rsidP="000616F2">
      <w:pPr>
        <w:pStyle w:val="Lijstalinea"/>
        <w:numPr>
          <w:ilvl w:val="0"/>
          <w:numId w:val="12"/>
        </w:numPr>
        <w:spacing w:after="0" w:line="240" w:lineRule="auto"/>
        <w:rPr>
          <w:rFonts w:ascii="Verdana" w:hAnsi="Verdana"/>
          <w:sz w:val="18"/>
          <w:szCs w:val="18"/>
          <w:lang w:val="en-US"/>
        </w:rPr>
      </w:pPr>
      <w:r w:rsidRPr="00DE79CB">
        <w:rPr>
          <w:rFonts w:ascii="Verdana" w:eastAsia="Verdana" w:hAnsi="Verdana" w:cs="Verdana"/>
          <w:sz w:val="18"/>
          <w:szCs w:val="18"/>
          <w:lang w:val="en-GB"/>
        </w:rPr>
        <w:t>The project must follow logically from an analysis of the local context and previous activities in the relevant sector or sectors and value chain or value chains</w:t>
      </w:r>
      <w:r w:rsidR="00F17AF0" w:rsidRPr="00DE79CB">
        <w:rPr>
          <w:rFonts w:ascii="Verdana" w:eastAsia="Verdana" w:hAnsi="Verdana" w:cs="Verdana"/>
          <w:sz w:val="18"/>
          <w:szCs w:val="18"/>
          <w:lang w:val="en-GB"/>
        </w:rPr>
        <w:t xml:space="preserve"> withing this/these sector(s)</w:t>
      </w:r>
      <w:r w:rsidRPr="00DE79CB">
        <w:rPr>
          <w:rFonts w:ascii="Verdana" w:eastAsia="Verdana" w:hAnsi="Verdana" w:cs="Verdana"/>
          <w:sz w:val="18"/>
          <w:szCs w:val="18"/>
          <w:lang w:val="en-GB"/>
        </w:rPr>
        <w:t>.</w:t>
      </w:r>
    </w:p>
    <w:bookmarkEnd w:id="10"/>
    <w:p w14:paraId="774D4656" w14:textId="77777777" w:rsidR="00553BC5" w:rsidRPr="00DE79CB" w:rsidRDefault="00553BC5" w:rsidP="00655670">
      <w:pPr>
        <w:spacing w:after="0" w:line="240" w:lineRule="auto"/>
        <w:rPr>
          <w:rFonts w:ascii="Verdana" w:eastAsia="Verdana" w:hAnsi="Verdana" w:cs="Verdana"/>
          <w:sz w:val="18"/>
          <w:szCs w:val="18"/>
          <w:lang w:val="en-US"/>
        </w:rPr>
      </w:pPr>
    </w:p>
    <w:p w14:paraId="448FFDAA" w14:textId="47F40F40" w:rsidR="004374E1" w:rsidRPr="00DE79CB" w:rsidRDefault="004374E1" w:rsidP="00655670">
      <w:pPr>
        <w:widowControl w:val="0"/>
        <w:tabs>
          <w:tab w:val="left" w:pos="940"/>
        </w:tabs>
        <w:autoSpaceDE w:val="0"/>
        <w:autoSpaceDN w:val="0"/>
        <w:spacing w:after="0" w:line="240" w:lineRule="auto"/>
        <w:ind w:right="800"/>
        <w:rPr>
          <w:rFonts w:ascii="Verdana" w:eastAsia="Verdana" w:hAnsi="Verdana" w:cs="Verdana"/>
          <w:i/>
          <w:iCs/>
          <w:sz w:val="18"/>
          <w:szCs w:val="18"/>
          <w:lang w:val="en-US"/>
        </w:rPr>
      </w:pPr>
      <w:r w:rsidRPr="00DE79CB">
        <w:rPr>
          <w:rFonts w:ascii="Verdana" w:eastAsia="Verdana" w:hAnsi="Verdana" w:cs="Verdana"/>
          <w:i/>
          <w:iCs/>
          <w:sz w:val="18"/>
          <w:szCs w:val="18"/>
          <w:lang w:val="en-GB"/>
        </w:rPr>
        <w:lastRenderedPageBreak/>
        <w:t>4.3.2 Ineligible activities</w:t>
      </w:r>
    </w:p>
    <w:p w14:paraId="6A9035F2" w14:textId="5DA228D7" w:rsidR="00553BC5" w:rsidRPr="00DE79CB" w:rsidRDefault="00553BC5" w:rsidP="00655670">
      <w:pPr>
        <w:widowControl w:val="0"/>
        <w:tabs>
          <w:tab w:val="left" w:pos="940"/>
        </w:tabs>
        <w:autoSpaceDE w:val="0"/>
        <w:autoSpaceDN w:val="0"/>
        <w:spacing w:after="0" w:line="240" w:lineRule="auto"/>
        <w:ind w:right="800"/>
        <w:rPr>
          <w:rFonts w:ascii="Verdana" w:eastAsia="Verdana" w:hAnsi="Verdana" w:cs="Verdana"/>
          <w:sz w:val="18"/>
          <w:szCs w:val="18"/>
          <w:lang w:val="en-US"/>
        </w:rPr>
      </w:pPr>
      <w:r w:rsidRPr="00DE79CB">
        <w:rPr>
          <w:rFonts w:ascii="Verdana" w:eastAsia="Verdana" w:hAnsi="Verdana" w:cs="Verdana"/>
          <w:sz w:val="18"/>
          <w:szCs w:val="18"/>
          <w:lang w:val="en-GB"/>
        </w:rPr>
        <w:t xml:space="preserve">The following activities are </w:t>
      </w:r>
      <w:r w:rsidR="001C33A1" w:rsidRPr="00DE79CB">
        <w:rPr>
          <w:rFonts w:ascii="Verdana" w:eastAsia="Verdana" w:hAnsi="Verdana" w:cs="Verdana"/>
          <w:sz w:val="18"/>
          <w:szCs w:val="18"/>
          <w:lang w:val="en-GB"/>
        </w:rPr>
        <w:t xml:space="preserve">in any case </w:t>
      </w:r>
      <w:r w:rsidRPr="00DE79CB">
        <w:rPr>
          <w:rFonts w:ascii="Verdana" w:eastAsia="Verdana" w:hAnsi="Verdana" w:cs="Verdana"/>
          <w:sz w:val="18"/>
          <w:szCs w:val="18"/>
          <w:lang w:val="en-GB"/>
        </w:rPr>
        <w:t xml:space="preserve">ineligible for </w:t>
      </w:r>
      <w:r w:rsidR="001C33A1" w:rsidRPr="00DE79CB">
        <w:rPr>
          <w:rFonts w:ascii="Verdana" w:eastAsia="Verdana" w:hAnsi="Verdana" w:cs="Verdana"/>
          <w:sz w:val="18"/>
          <w:szCs w:val="18"/>
          <w:lang w:val="en-GB"/>
        </w:rPr>
        <w:t>a grant</w:t>
      </w:r>
      <w:r w:rsidRPr="00DE79CB">
        <w:rPr>
          <w:rFonts w:ascii="Verdana" w:eastAsia="Verdana" w:hAnsi="Verdana" w:cs="Verdana"/>
          <w:sz w:val="18"/>
          <w:szCs w:val="18"/>
          <w:lang w:val="en-GB"/>
        </w:rPr>
        <w:t>:</w:t>
      </w:r>
    </w:p>
    <w:p w14:paraId="3972638D" w14:textId="77777777" w:rsidR="00553BC5" w:rsidRPr="00DE79CB" w:rsidRDefault="00553BC5" w:rsidP="00655670">
      <w:pPr>
        <w:pStyle w:val="Lijstalinea"/>
        <w:widowControl w:val="0"/>
        <w:numPr>
          <w:ilvl w:val="0"/>
          <w:numId w:val="4"/>
        </w:numPr>
        <w:tabs>
          <w:tab w:val="left" w:pos="940"/>
        </w:tabs>
        <w:autoSpaceDE w:val="0"/>
        <w:autoSpaceDN w:val="0"/>
        <w:spacing w:after="0" w:line="240" w:lineRule="auto"/>
        <w:ind w:right="800"/>
        <w:rPr>
          <w:rFonts w:ascii="Verdana" w:hAnsi="Verdana"/>
          <w:sz w:val="18"/>
          <w:szCs w:val="18"/>
          <w:lang w:val="en-US"/>
        </w:rPr>
      </w:pPr>
      <w:r w:rsidRPr="00DE79CB">
        <w:rPr>
          <w:rFonts w:ascii="Verdana" w:eastAsia="Verdana" w:hAnsi="Verdana" w:cs="Verdana"/>
          <w:sz w:val="18"/>
          <w:szCs w:val="18"/>
          <w:lang w:val="en-GB"/>
        </w:rPr>
        <w:t xml:space="preserve">initiatives that involve or aim at </w:t>
      </w:r>
      <w:proofErr w:type="spellStart"/>
      <w:r w:rsidRPr="00DE79CB">
        <w:rPr>
          <w:rFonts w:ascii="Verdana" w:eastAsia="Verdana" w:hAnsi="Verdana" w:cs="Verdana"/>
          <w:sz w:val="18"/>
          <w:szCs w:val="18"/>
          <w:lang w:val="en-GB"/>
        </w:rPr>
        <w:t>proselytism</w:t>
      </w:r>
      <w:proofErr w:type="spellEnd"/>
      <w:r w:rsidRPr="00DE79CB">
        <w:rPr>
          <w:rFonts w:ascii="Verdana" w:eastAsia="Verdana" w:hAnsi="Verdana" w:cs="Verdana"/>
          <w:sz w:val="18"/>
          <w:szCs w:val="18"/>
          <w:lang w:val="en-GB"/>
        </w:rPr>
        <w:t xml:space="preserve">; </w:t>
      </w:r>
    </w:p>
    <w:p w14:paraId="7D06FC59" w14:textId="53DD72DC" w:rsidR="008C6C4A" w:rsidRPr="00DE79CB" w:rsidRDefault="005363E3" w:rsidP="00655670">
      <w:pPr>
        <w:pStyle w:val="Lijstalinea"/>
        <w:widowControl w:val="0"/>
        <w:numPr>
          <w:ilvl w:val="0"/>
          <w:numId w:val="4"/>
        </w:numPr>
        <w:tabs>
          <w:tab w:val="left" w:pos="940"/>
        </w:tabs>
        <w:autoSpaceDE w:val="0"/>
        <w:autoSpaceDN w:val="0"/>
        <w:spacing w:after="0" w:line="240" w:lineRule="auto"/>
        <w:ind w:right="800"/>
        <w:rPr>
          <w:rFonts w:ascii="Verdana" w:hAnsi="Verdana"/>
          <w:sz w:val="18"/>
          <w:szCs w:val="18"/>
          <w:lang w:val="en-US"/>
        </w:rPr>
      </w:pPr>
      <w:r w:rsidRPr="00DE79CB">
        <w:rPr>
          <w:rFonts w:ascii="Verdana" w:hAnsi="Verdana"/>
          <w:sz w:val="18"/>
          <w:szCs w:val="18"/>
          <w:lang w:val="en-GB"/>
        </w:rPr>
        <w:t xml:space="preserve">Activities </w:t>
      </w:r>
      <w:r w:rsidR="007D71D7" w:rsidRPr="00DE79CB">
        <w:rPr>
          <w:rFonts w:ascii="Verdana" w:hAnsi="Verdana"/>
          <w:sz w:val="18"/>
          <w:szCs w:val="18"/>
          <w:lang w:val="en-GB"/>
        </w:rPr>
        <w:t>that involve racism, stigmatising expressions, antisemitism, or any other form of religious persecution or discrimination that is prohibited under Dutch or European law; </w:t>
      </w:r>
    </w:p>
    <w:p w14:paraId="7461DB81" w14:textId="77777777" w:rsidR="00553BC5" w:rsidRPr="00DE79CB" w:rsidRDefault="00553BC5" w:rsidP="00655670">
      <w:pPr>
        <w:pStyle w:val="Lijstalinea"/>
        <w:widowControl w:val="0"/>
        <w:numPr>
          <w:ilvl w:val="0"/>
          <w:numId w:val="4"/>
        </w:numPr>
        <w:tabs>
          <w:tab w:val="left" w:pos="940"/>
        </w:tabs>
        <w:autoSpaceDE w:val="0"/>
        <w:autoSpaceDN w:val="0"/>
        <w:spacing w:after="0" w:line="240" w:lineRule="auto"/>
        <w:ind w:right="800"/>
        <w:rPr>
          <w:rFonts w:ascii="Verdana" w:hAnsi="Verdana"/>
          <w:sz w:val="18"/>
          <w:szCs w:val="18"/>
        </w:rPr>
      </w:pPr>
      <w:r w:rsidRPr="00DE79CB">
        <w:rPr>
          <w:rFonts w:ascii="Verdana" w:eastAsia="Verdana" w:hAnsi="Verdana" w:cs="Verdana"/>
          <w:sz w:val="18"/>
          <w:szCs w:val="18"/>
          <w:lang w:val="en-GB"/>
        </w:rPr>
        <w:t xml:space="preserve">commercial activities; </w:t>
      </w:r>
    </w:p>
    <w:p w14:paraId="4796EA6C" w14:textId="77777777" w:rsidR="00553BC5" w:rsidRPr="00DE79CB" w:rsidRDefault="00553BC5" w:rsidP="00655670">
      <w:pPr>
        <w:pStyle w:val="Lijstalinea"/>
        <w:widowControl w:val="0"/>
        <w:numPr>
          <w:ilvl w:val="0"/>
          <w:numId w:val="4"/>
        </w:numPr>
        <w:tabs>
          <w:tab w:val="left" w:pos="940"/>
        </w:tabs>
        <w:autoSpaceDE w:val="0"/>
        <w:autoSpaceDN w:val="0"/>
        <w:spacing w:after="0" w:line="240" w:lineRule="auto"/>
        <w:ind w:right="800"/>
        <w:rPr>
          <w:rFonts w:ascii="Verdana" w:hAnsi="Verdana"/>
          <w:sz w:val="18"/>
          <w:szCs w:val="18"/>
          <w:lang w:val="en-US"/>
        </w:rPr>
      </w:pPr>
      <w:r w:rsidRPr="00DE79CB">
        <w:rPr>
          <w:rFonts w:ascii="Verdana" w:eastAsia="Verdana" w:hAnsi="Verdana" w:cs="Verdana"/>
          <w:sz w:val="18"/>
          <w:szCs w:val="18"/>
          <w:lang w:val="en-GB"/>
        </w:rPr>
        <w:t xml:space="preserve">activities which already receive grant funding or a contribution directly from the Ministry of Foreign Affairs budget; </w:t>
      </w:r>
    </w:p>
    <w:p w14:paraId="03AC08C1" w14:textId="338DED84" w:rsidR="00553BC5" w:rsidRPr="00DE79CB" w:rsidRDefault="00553BC5" w:rsidP="00655670">
      <w:pPr>
        <w:pStyle w:val="Lijstalinea"/>
        <w:widowControl w:val="0"/>
        <w:numPr>
          <w:ilvl w:val="0"/>
          <w:numId w:val="4"/>
        </w:numPr>
        <w:tabs>
          <w:tab w:val="left" w:pos="940"/>
        </w:tabs>
        <w:autoSpaceDE w:val="0"/>
        <w:autoSpaceDN w:val="0"/>
        <w:spacing w:after="0" w:line="240" w:lineRule="auto"/>
        <w:ind w:right="800"/>
        <w:rPr>
          <w:rFonts w:ascii="Verdana" w:hAnsi="Verdana"/>
          <w:sz w:val="18"/>
          <w:szCs w:val="18"/>
          <w:lang w:val="en-US"/>
        </w:rPr>
      </w:pPr>
      <w:r w:rsidRPr="00DE79CB">
        <w:rPr>
          <w:rFonts w:ascii="Verdana" w:eastAsia="Verdana" w:hAnsi="Verdana" w:cs="Verdana"/>
          <w:sz w:val="18"/>
          <w:szCs w:val="18"/>
          <w:lang w:val="en-GB"/>
        </w:rPr>
        <w:t xml:space="preserve">activities of a local civil society organisation which already receive a contribution indirectly from the </w:t>
      </w:r>
      <w:proofErr w:type="spellStart"/>
      <w:r w:rsidRPr="00DE79CB">
        <w:rPr>
          <w:rFonts w:ascii="Verdana" w:eastAsia="Verdana" w:hAnsi="Verdana" w:cs="Verdana"/>
          <w:sz w:val="18"/>
          <w:szCs w:val="18"/>
          <w:lang w:val="en-GB"/>
        </w:rPr>
        <w:t>the</w:t>
      </w:r>
      <w:proofErr w:type="spellEnd"/>
      <w:r w:rsidRPr="00DE79CB">
        <w:rPr>
          <w:rFonts w:ascii="Verdana" w:eastAsia="Verdana" w:hAnsi="Verdana" w:cs="Verdana"/>
          <w:sz w:val="18"/>
          <w:szCs w:val="18"/>
          <w:lang w:val="en-GB"/>
        </w:rPr>
        <w:t xml:space="preserve"> Ministry of Foreign Affairs</w:t>
      </w:r>
      <w:r w:rsidR="001C33A1" w:rsidRPr="00DE79CB">
        <w:rPr>
          <w:rFonts w:ascii="Verdana" w:eastAsia="Verdana" w:hAnsi="Verdana" w:cs="Verdana"/>
          <w:sz w:val="18"/>
          <w:szCs w:val="18"/>
          <w:lang w:val="en-GB"/>
        </w:rPr>
        <w:t xml:space="preserve"> budget</w:t>
      </w:r>
      <w:r w:rsidRPr="00DE79CB">
        <w:rPr>
          <w:rFonts w:ascii="Verdana" w:eastAsia="Verdana" w:hAnsi="Verdana" w:cs="Verdana"/>
          <w:sz w:val="18"/>
          <w:szCs w:val="18"/>
          <w:lang w:val="en-GB"/>
        </w:rPr>
        <w:t xml:space="preserve">; </w:t>
      </w:r>
    </w:p>
    <w:p w14:paraId="79D88D95" w14:textId="1944E307" w:rsidR="00553BC5" w:rsidRPr="00DE79CB" w:rsidRDefault="00553BC5" w:rsidP="00655670">
      <w:pPr>
        <w:pStyle w:val="Lijstalinea"/>
        <w:widowControl w:val="0"/>
        <w:numPr>
          <w:ilvl w:val="0"/>
          <w:numId w:val="4"/>
        </w:numPr>
        <w:tabs>
          <w:tab w:val="left" w:pos="940"/>
        </w:tabs>
        <w:autoSpaceDE w:val="0"/>
        <w:autoSpaceDN w:val="0"/>
        <w:spacing w:after="0" w:line="240" w:lineRule="auto"/>
        <w:ind w:right="800"/>
        <w:rPr>
          <w:rFonts w:ascii="Verdana" w:hAnsi="Verdana"/>
          <w:sz w:val="18"/>
          <w:szCs w:val="18"/>
          <w:lang w:val="en-US"/>
        </w:rPr>
      </w:pPr>
      <w:r w:rsidRPr="00DE79CB">
        <w:rPr>
          <w:rFonts w:ascii="Verdana" w:eastAsia="Verdana" w:hAnsi="Verdana" w:cs="Verdana"/>
          <w:sz w:val="18"/>
          <w:szCs w:val="18"/>
          <w:lang w:val="en-GB"/>
        </w:rPr>
        <w:t xml:space="preserve">activities of organisations which already receive </w:t>
      </w:r>
      <w:r w:rsidR="001C33A1" w:rsidRPr="00DE79CB">
        <w:rPr>
          <w:rFonts w:ascii="Verdana" w:eastAsia="Verdana" w:hAnsi="Verdana" w:cs="Verdana"/>
          <w:sz w:val="18"/>
          <w:szCs w:val="18"/>
          <w:lang w:val="en-GB"/>
        </w:rPr>
        <w:t xml:space="preserve">core funding </w:t>
      </w:r>
      <w:r w:rsidRPr="00DE79CB">
        <w:rPr>
          <w:rFonts w:ascii="Verdana" w:eastAsia="Verdana" w:hAnsi="Verdana" w:cs="Verdana"/>
          <w:sz w:val="18"/>
          <w:szCs w:val="18"/>
          <w:lang w:val="en-GB"/>
        </w:rPr>
        <w:t>from the Ministry of Foreign Affairs</w:t>
      </w:r>
      <w:r w:rsidR="001C33A1" w:rsidRPr="00DE79CB">
        <w:rPr>
          <w:rFonts w:ascii="Verdana" w:eastAsia="Verdana" w:hAnsi="Verdana" w:cs="Verdana"/>
          <w:sz w:val="18"/>
          <w:szCs w:val="18"/>
          <w:lang w:val="en-GB"/>
        </w:rPr>
        <w:t xml:space="preserve"> budget</w:t>
      </w:r>
      <w:r w:rsidRPr="00DE79CB">
        <w:rPr>
          <w:rFonts w:ascii="Verdana" w:eastAsia="Verdana" w:hAnsi="Verdana" w:cs="Verdana"/>
          <w:sz w:val="18"/>
          <w:szCs w:val="18"/>
          <w:lang w:val="en-GB"/>
        </w:rPr>
        <w:t xml:space="preserve">, where the duration of that grant extends into the period for which </w:t>
      </w:r>
      <w:r w:rsidR="001C33A1" w:rsidRPr="00DE79CB">
        <w:rPr>
          <w:rFonts w:ascii="Verdana" w:eastAsia="Verdana" w:hAnsi="Verdana" w:cs="Verdana"/>
          <w:sz w:val="18"/>
          <w:szCs w:val="18"/>
          <w:lang w:val="en-GB"/>
        </w:rPr>
        <w:t xml:space="preserve">a grant </w:t>
      </w:r>
      <w:r w:rsidRPr="00DE79CB">
        <w:rPr>
          <w:rFonts w:ascii="Verdana" w:eastAsia="Verdana" w:hAnsi="Verdana" w:cs="Verdana"/>
          <w:sz w:val="18"/>
          <w:szCs w:val="18"/>
          <w:lang w:val="en-GB"/>
        </w:rPr>
        <w:t xml:space="preserve">under this </w:t>
      </w:r>
      <w:r w:rsidR="001C33A1" w:rsidRPr="00DE79CB">
        <w:rPr>
          <w:rFonts w:ascii="Verdana" w:eastAsia="Verdana" w:hAnsi="Verdana" w:cs="Verdana"/>
          <w:sz w:val="18"/>
          <w:szCs w:val="18"/>
          <w:lang w:val="en-GB"/>
        </w:rPr>
        <w:t xml:space="preserve">grant </w:t>
      </w:r>
      <w:r w:rsidRPr="00DE79CB">
        <w:rPr>
          <w:rFonts w:ascii="Verdana" w:eastAsia="Verdana" w:hAnsi="Verdana" w:cs="Verdana"/>
          <w:sz w:val="18"/>
          <w:szCs w:val="18"/>
          <w:lang w:val="en-GB"/>
        </w:rPr>
        <w:t>programme is requested;</w:t>
      </w:r>
    </w:p>
    <w:p w14:paraId="7825AE38" w14:textId="02CCF584" w:rsidR="008C6C4A" w:rsidRPr="00DE79CB" w:rsidRDefault="001463C5" w:rsidP="00655670">
      <w:pPr>
        <w:pStyle w:val="Lijstalinea"/>
        <w:widowControl w:val="0"/>
        <w:numPr>
          <w:ilvl w:val="0"/>
          <w:numId w:val="4"/>
        </w:numPr>
        <w:tabs>
          <w:tab w:val="left" w:pos="940"/>
        </w:tabs>
        <w:autoSpaceDE w:val="0"/>
        <w:autoSpaceDN w:val="0"/>
        <w:spacing w:after="0" w:line="240" w:lineRule="auto"/>
        <w:ind w:right="800"/>
        <w:rPr>
          <w:rFonts w:ascii="Verdana" w:hAnsi="Verdana"/>
          <w:sz w:val="18"/>
          <w:szCs w:val="18"/>
          <w:lang w:val="en-US"/>
        </w:rPr>
      </w:pPr>
      <w:r w:rsidRPr="00DE79CB">
        <w:rPr>
          <w:rFonts w:ascii="Verdana" w:hAnsi="Verdana"/>
          <w:sz w:val="18"/>
          <w:szCs w:val="18"/>
          <w:lang w:val="en-GB"/>
        </w:rPr>
        <w:t>activities that support one or more of the activities listed above. </w:t>
      </w:r>
    </w:p>
    <w:p w14:paraId="4A9C75EE" w14:textId="77777777" w:rsidR="00AB295A" w:rsidRPr="00DE79CB" w:rsidRDefault="00AB295A" w:rsidP="00655670">
      <w:pPr>
        <w:spacing w:after="0" w:line="240" w:lineRule="auto"/>
        <w:rPr>
          <w:rFonts w:ascii="Verdana" w:eastAsia="Verdana" w:hAnsi="Verdana" w:cs="Verdana"/>
          <w:sz w:val="18"/>
          <w:szCs w:val="18"/>
          <w:lang w:val="en-US"/>
        </w:rPr>
      </w:pPr>
    </w:p>
    <w:p w14:paraId="3CA4E537" w14:textId="12691430" w:rsidR="004374E1" w:rsidRPr="00DE79CB" w:rsidRDefault="004374E1" w:rsidP="00655670">
      <w:pPr>
        <w:spacing w:after="0" w:line="240" w:lineRule="auto"/>
        <w:rPr>
          <w:rFonts w:ascii="Verdana" w:eastAsia="Verdana" w:hAnsi="Verdana" w:cs="Verdana"/>
          <w:i/>
          <w:iCs/>
          <w:sz w:val="18"/>
          <w:szCs w:val="18"/>
          <w:lang w:val="en-US"/>
        </w:rPr>
      </w:pPr>
      <w:r w:rsidRPr="00DE79CB">
        <w:rPr>
          <w:rFonts w:ascii="Verdana" w:eastAsia="Verdana" w:hAnsi="Verdana" w:cs="Verdana"/>
          <w:i/>
          <w:iCs/>
          <w:sz w:val="18"/>
          <w:szCs w:val="18"/>
          <w:lang w:val="en-GB"/>
        </w:rPr>
        <w:t>4.4 Eligible activities by type</w:t>
      </w:r>
      <w:r w:rsidR="003A2D99" w:rsidRPr="00DE79CB">
        <w:rPr>
          <w:rFonts w:ascii="Verdana" w:eastAsia="Verdana" w:hAnsi="Verdana" w:cs="Verdana"/>
          <w:i/>
          <w:iCs/>
          <w:sz w:val="18"/>
          <w:szCs w:val="18"/>
          <w:lang w:val="en-GB"/>
        </w:rPr>
        <w:t xml:space="preserve"> of activities</w:t>
      </w:r>
    </w:p>
    <w:p w14:paraId="0705EE07" w14:textId="77777777" w:rsidR="00493910" w:rsidRPr="00DE79CB" w:rsidRDefault="00493910" w:rsidP="00655670">
      <w:pPr>
        <w:spacing w:after="0" w:line="240" w:lineRule="auto"/>
        <w:rPr>
          <w:rFonts w:ascii="Verdana" w:eastAsia="Verdana" w:hAnsi="Verdana" w:cs="Verdana"/>
          <w:i/>
          <w:iCs/>
          <w:sz w:val="18"/>
          <w:szCs w:val="18"/>
          <w:lang w:val="en-US"/>
        </w:rPr>
      </w:pPr>
    </w:p>
    <w:p w14:paraId="467994D4" w14:textId="1A0D4DA7" w:rsidR="00493910" w:rsidRPr="00DE79CB" w:rsidRDefault="00493910" w:rsidP="00655670">
      <w:pPr>
        <w:spacing w:after="0" w:line="240" w:lineRule="auto"/>
        <w:rPr>
          <w:rFonts w:ascii="Verdana" w:eastAsia="Verdana" w:hAnsi="Verdana" w:cs="Verdana"/>
          <w:i/>
          <w:iCs/>
          <w:sz w:val="18"/>
          <w:szCs w:val="18"/>
          <w:lang w:val="en-US"/>
        </w:rPr>
      </w:pPr>
      <w:r w:rsidRPr="00DE79CB">
        <w:rPr>
          <w:rFonts w:ascii="Verdana" w:eastAsia="Verdana" w:hAnsi="Verdana" w:cs="Verdana"/>
          <w:i/>
          <w:iCs/>
          <w:sz w:val="18"/>
          <w:szCs w:val="18"/>
          <w:lang w:val="en-GB"/>
        </w:rPr>
        <w:t>4.4.1 Financing activities</w:t>
      </w:r>
    </w:p>
    <w:p w14:paraId="5FA000C5" w14:textId="798B1B09" w:rsidR="003D6D7B" w:rsidRPr="00DE79CB" w:rsidRDefault="00752A3E" w:rsidP="003C297D">
      <w:pPr>
        <w:spacing w:after="0"/>
        <w:rPr>
          <w:rFonts w:ascii="Verdana" w:eastAsia="Verdana" w:hAnsi="Verdana" w:cs="Verdana"/>
          <w:sz w:val="18"/>
          <w:szCs w:val="18"/>
          <w:lang w:val="en-US"/>
        </w:rPr>
      </w:pPr>
      <w:r w:rsidRPr="00DE79CB">
        <w:rPr>
          <w:rFonts w:ascii="Verdana" w:eastAsia="Verdana" w:hAnsi="Verdana" w:cs="Verdana"/>
          <w:sz w:val="18"/>
          <w:szCs w:val="18"/>
          <w:lang w:val="en-GB"/>
        </w:rPr>
        <w:t xml:space="preserve">The applicant provides financial support to partners for the implementation of service provision and dialogue activities that are relevant to the objectives and thematic priorities of this grant programme. </w:t>
      </w:r>
      <w:r w:rsidR="005D4111" w:rsidRPr="00DE79CB">
        <w:rPr>
          <w:rFonts w:ascii="Verdana" w:eastAsia="Verdana" w:hAnsi="Verdana" w:cs="Verdana"/>
          <w:sz w:val="18"/>
          <w:szCs w:val="18"/>
          <w:lang w:val="en-GB"/>
        </w:rPr>
        <w:t>During the inception phase of the project, the partners are selected</w:t>
      </w:r>
      <w:r w:rsidRPr="00DE79CB">
        <w:rPr>
          <w:rFonts w:ascii="Verdana" w:eastAsia="Verdana" w:hAnsi="Verdana" w:cs="Verdana"/>
          <w:sz w:val="18"/>
          <w:szCs w:val="18"/>
          <w:lang w:val="en-GB"/>
        </w:rPr>
        <w:t xml:space="preserve">, as referred to in section 4.5. </w:t>
      </w:r>
      <w:r w:rsidR="00CA403F" w:rsidRPr="00DE79CB">
        <w:rPr>
          <w:rFonts w:ascii="Verdana" w:eastAsia="Verdana" w:hAnsi="Verdana" w:cs="Verdana"/>
          <w:sz w:val="18"/>
          <w:szCs w:val="18"/>
          <w:lang w:val="en-US"/>
        </w:rPr>
        <w:t xml:space="preserve">It is up to the applicant, taking into account the policy rules of this grant programme, to establish and apply criteria for selection and to find an appropriate form for the relationships it enters into with the partners it selects. The grant decision will include obligations ensuring that the grant recipient properly accounts to the Minister for the use of the </w:t>
      </w:r>
      <w:r w:rsidR="003A2D99" w:rsidRPr="00DE79CB">
        <w:rPr>
          <w:rFonts w:ascii="Verdana" w:eastAsia="Verdana" w:hAnsi="Verdana" w:cs="Verdana"/>
          <w:sz w:val="18"/>
          <w:szCs w:val="18"/>
          <w:lang w:val="en-US"/>
        </w:rPr>
        <w:t>grant</w:t>
      </w:r>
      <w:r w:rsidR="00CA403F" w:rsidRPr="00DE79CB">
        <w:rPr>
          <w:rFonts w:ascii="Verdana" w:eastAsia="Verdana" w:hAnsi="Verdana" w:cs="Verdana"/>
          <w:sz w:val="18"/>
          <w:szCs w:val="18"/>
          <w:lang w:val="en-US"/>
        </w:rPr>
        <w:t xml:space="preserve"> funds.</w:t>
      </w:r>
    </w:p>
    <w:p w14:paraId="0B4A0A80" w14:textId="23611CF1" w:rsidR="003D6D7B" w:rsidRPr="00DE79CB" w:rsidRDefault="003D6D7B"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 xml:space="preserve"> </w:t>
      </w:r>
    </w:p>
    <w:p w14:paraId="0D9E671A" w14:textId="0975C425" w:rsidR="00D63E2D" w:rsidRPr="00DE79CB" w:rsidRDefault="004374E1" w:rsidP="00AE77FE">
      <w:pPr>
        <w:spacing w:after="0" w:line="240" w:lineRule="auto"/>
        <w:rPr>
          <w:rFonts w:ascii="Verdana" w:eastAsia="Verdana" w:hAnsi="Verdana" w:cs="Verdana"/>
          <w:sz w:val="18"/>
          <w:szCs w:val="18"/>
          <w:lang w:val="en-US"/>
        </w:rPr>
      </w:pPr>
      <w:r w:rsidRPr="00DE79CB">
        <w:rPr>
          <w:rFonts w:ascii="Verdana" w:hAnsi="Verdana"/>
          <w:i/>
          <w:iCs/>
          <w:sz w:val="18"/>
          <w:szCs w:val="18"/>
          <w:lang w:val="en-GB"/>
        </w:rPr>
        <w:t>4.4.2 Service provision</w:t>
      </w:r>
      <w:r w:rsidRPr="00DE79CB">
        <w:rPr>
          <w:rFonts w:ascii="Verdana" w:hAnsi="Verdana"/>
          <w:sz w:val="18"/>
          <w:szCs w:val="18"/>
          <w:lang w:val="en-GB"/>
        </w:rPr>
        <w:br/>
        <w:t>Service provision encompasses activities that directly aim to improve the welfare or living conditions of individuals or communities in the target countries</w:t>
      </w:r>
      <w:r w:rsidR="00EF71CD" w:rsidRPr="00DE79CB">
        <w:rPr>
          <w:rFonts w:ascii="Verdana" w:hAnsi="Verdana"/>
          <w:sz w:val="18"/>
          <w:szCs w:val="18"/>
          <w:lang w:val="en-GB"/>
        </w:rPr>
        <w:t>. To be eligible</w:t>
      </w:r>
      <w:r w:rsidRPr="00DE79CB">
        <w:rPr>
          <w:rFonts w:ascii="Verdana" w:hAnsi="Verdana"/>
          <w:sz w:val="18"/>
          <w:szCs w:val="18"/>
          <w:lang w:val="en-GB"/>
        </w:rPr>
        <w:t xml:space="preserve">, these conditions </w:t>
      </w:r>
      <w:r w:rsidR="00EF71CD" w:rsidRPr="00DE79CB">
        <w:rPr>
          <w:rFonts w:ascii="Verdana" w:hAnsi="Verdana"/>
          <w:sz w:val="18"/>
          <w:szCs w:val="18"/>
          <w:lang w:val="en-GB"/>
        </w:rPr>
        <w:t xml:space="preserve">have to be </w:t>
      </w:r>
      <w:r w:rsidRPr="00DE79CB">
        <w:rPr>
          <w:rFonts w:ascii="Verdana" w:hAnsi="Verdana"/>
          <w:sz w:val="18"/>
          <w:szCs w:val="18"/>
          <w:lang w:val="en-GB"/>
        </w:rPr>
        <w:t xml:space="preserve">directly related to value chains that are relevant to the Netherlands. Examples include activities aimed at improving labour rights and working conditions for women and men working in value chains linked to Dutch enterprises, as well as activities aimed at preventing deforestation and environmental pollution. </w:t>
      </w:r>
      <w:bookmarkStart w:id="11" w:name="_Hlk218512996"/>
      <w:r w:rsidRPr="00DE79CB">
        <w:rPr>
          <w:rFonts w:ascii="Verdana" w:hAnsi="Verdana"/>
          <w:sz w:val="18"/>
          <w:szCs w:val="18"/>
          <w:lang w:val="en-GB"/>
        </w:rPr>
        <w:t>Service provision can encompass education, training or the provision of information to or for individuals, communities or non-CSO local organisations in the target countries, such as local suppliers, farmer cooperatives or trade unions. Training may focus on themes such as occupational health and safety, child labour, or regenerative agriculture</w:t>
      </w:r>
      <w:bookmarkEnd w:id="11"/>
      <w:r w:rsidRPr="00DE79CB">
        <w:rPr>
          <w:rFonts w:ascii="Verdana" w:hAnsi="Verdana"/>
          <w:sz w:val="18"/>
          <w:szCs w:val="18"/>
          <w:lang w:val="en-GB"/>
        </w:rPr>
        <w:t xml:space="preserve">. This strengthens local earning capacity and the security of supply of products to the Netherlands that </w:t>
      </w:r>
      <w:r w:rsidR="00457D06" w:rsidRPr="00DE79CB">
        <w:rPr>
          <w:rFonts w:ascii="Verdana" w:hAnsi="Verdana"/>
          <w:sz w:val="18"/>
          <w:szCs w:val="18"/>
          <w:lang w:val="en-GB"/>
        </w:rPr>
        <w:t>have been produced in compliance with</w:t>
      </w:r>
      <w:r w:rsidRPr="00DE79CB">
        <w:rPr>
          <w:rFonts w:ascii="Verdana" w:hAnsi="Verdana"/>
          <w:sz w:val="18"/>
          <w:szCs w:val="18"/>
          <w:lang w:val="en-GB"/>
        </w:rPr>
        <w:t xml:space="preserve"> international and European standards for International Responsible Business Conduct. </w:t>
      </w:r>
    </w:p>
    <w:p w14:paraId="635C6477" w14:textId="77777777" w:rsidR="00D63E2D" w:rsidRPr="00DE79CB" w:rsidRDefault="00D63E2D" w:rsidP="00655670">
      <w:pPr>
        <w:spacing w:after="0" w:line="240" w:lineRule="auto"/>
        <w:rPr>
          <w:rFonts w:ascii="Verdana" w:eastAsia="Verdana" w:hAnsi="Verdana" w:cs="Verdana"/>
          <w:sz w:val="18"/>
          <w:szCs w:val="18"/>
          <w:lang w:val="en-US"/>
        </w:rPr>
      </w:pPr>
    </w:p>
    <w:p w14:paraId="2FE8A8D0" w14:textId="1755337E" w:rsidR="00482649" w:rsidRPr="00DE79CB" w:rsidRDefault="004374E1" w:rsidP="00655670">
      <w:pPr>
        <w:spacing w:after="0" w:line="240" w:lineRule="auto"/>
        <w:rPr>
          <w:rFonts w:ascii="Verdana" w:eastAsia="Verdana" w:hAnsi="Verdana" w:cs="Verdana"/>
          <w:i/>
          <w:iCs/>
          <w:sz w:val="18"/>
          <w:szCs w:val="18"/>
          <w:lang w:val="en-US"/>
        </w:rPr>
      </w:pPr>
      <w:r w:rsidRPr="00DE79CB">
        <w:rPr>
          <w:rFonts w:ascii="Verdana" w:eastAsia="Verdana" w:hAnsi="Verdana" w:cs="Verdana"/>
          <w:i/>
          <w:iCs/>
          <w:sz w:val="18"/>
          <w:szCs w:val="18"/>
          <w:lang w:val="en-GB"/>
        </w:rPr>
        <w:t>4.4.3 Dialogue</w:t>
      </w:r>
    </w:p>
    <w:p w14:paraId="7BADF726" w14:textId="44F62D52" w:rsidR="002F29BB" w:rsidRPr="00DE79CB" w:rsidRDefault="00E80BCE" w:rsidP="00655670">
      <w:pPr>
        <w:spacing w:after="0" w:line="240" w:lineRule="auto"/>
        <w:rPr>
          <w:rFonts w:ascii="Verdana" w:eastAsia="Verdana" w:hAnsi="Verdana" w:cs="Verdana"/>
          <w:sz w:val="18"/>
          <w:szCs w:val="18"/>
          <w:lang w:val="en-US"/>
        </w:rPr>
      </w:pPr>
      <w:r w:rsidRPr="00DE79CB">
        <w:rPr>
          <w:rFonts w:ascii="Verdana" w:hAnsi="Verdana"/>
          <w:sz w:val="18"/>
          <w:szCs w:val="18"/>
          <w:lang w:val="en-US"/>
        </w:rPr>
        <w:t xml:space="preserve">Dialogue entails activities consisting of conducting targeted dialogue and facilitating interaction between relevant stakeholders, such as the European Union, governments, multilateral institutions, civil society </w:t>
      </w:r>
      <w:proofErr w:type="spellStart"/>
      <w:r w:rsidRPr="00DE79CB">
        <w:rPr>
          <w:rFonts w:ascii="Verdana" w:hAnsi="Verdana"/>
          <w:sz w:val="18"/>
          <w:szCs w:val="18"/>
          <w:lang w:val="en-US"/>
        </w:rPr>
        <w:t>organisations</w:t>
      </w:r>
      <w:proofErr w:type="spellEnd"/>
      <w:r w:rsidRPr="00DE79CB">
        <w:rPr>
          <w:rFonts w:ascii="Verdana" w:hAnsi="Verdana"/>
          <w:sz w:val="18"/>
          <w:szCs w:val="18"/>
          <w:lang w:val="en-US"/>
        </w:rPr>
        <w:t>, and the private sector, with the aim of raising awareness, promoting policy change, and improving (the implementation of) legislation and regulations, to contribute to sustainable and fair trade within the value chain(s) selected by the applicant.</w:t>
      </w:r>
      <w:r w:rsidR="005D0D1C" w:rsidRPr="00DE79CB">
        <w:rPr>
          <w:rFonts w:ascii="Verdana" w:hAnsi="Verdana"/>
          <w:sz w:val="18"/>
          <w:szCs w:val="18"/>
          <w:lang w:val="en-GB"/>
        </w:rPr>
        <w:t xml:space="preserve"> Examples of dialogue activities include funding a local civil society organisation so it can participate in a roundtable discussion on bottlenecks and solutions in local markets in the coffee or palm oil chain, or </w:t>
      </w:r>
      <w:r w:rsidR="0029099F" w:rsidRPr="00DE79CB">
        <w:rPr>
          <w:rFonts w:ascii="Verdana" w:hAnsi="Verdana"/>
          <w:sz w:val="18"/>
          <w:szCs w:val="18"/>
          <w:lang w:val="en-GB"/>
        </w:rPr>
        <w:t xml:space="preserve">by providing feedback on developments in production countries relevant to the implementation of </w:t>
      </w:r>
      <w:r w:rsidR="0029099F" w:rsidRPr="00DE79CB">
        <w:rPr>
          <w:rStyle w:val="cf01"/>
          <w:rFonts w:ascii="Verdana" w:hAnsi="Verdana" w:cs="Verdana"/>
          <w:lang w:val="en-GB"/>
        </w:rPr>
        <w:t>RBC-related legislation and regulations.</w:t>
      </w:r>
      <w:r w:rsidR="005D0D1C" w:rsidRPr="00DE79CB">
        <w:rPr>
          <w:rFonts w:ascii="Verdana" w:hAnsi="Verdana"/>
          <w:sz w:val="18"/>
          <w:szCs w:val="18"/>
          <w:lang w:val="en-GB"/>
        </w:rPr>
        <w:t xml:space="preserve">. </w:t>
      </w:r>
    </w:p>
    <w:p w14:paraId="41B7BDB9" w14:textId="77777777" w:rsidR="002F29BB" w:rsidRPr="00DE79CB" w:rsidRDefault="002F29BB" w:rsidP="00655670">
      <w:pPr>
        <w:spacing w:after="0" w:line="240" w:lineRule="auto"/>
        <w:rPr>
          <w:rFonts w:ascii="Verdana" w:eastAsia="Verdana" w:hAnsi="Verdana" w:cs="Verdana"/>
          <w:sz w:val="18"/>
          <w:szCs w:val="18"/>
          <w:lang w:val="en-US"/>
        </w:rPr>
      </w:pPr>
    </w:p>
    <w:p w14:paraId="06801C86" w14:textId="377CE7FC" w:rsidR="00482649" w:rsidRPr="00DE79CB" w:rsidRDefault="00444B2C" w:rsidP="00655670">
      <w:pPr>
        <w:spacing w:after="0" w:line="240" w:lineRule="auto"/>
        <w:rPr>
          <w:rFonts w:ascii="Verdana" w:eastAsia="Verdana" w:hAnsi="Verdana" w:cs="Verdana"/>
          <w:sz w:val="18"/>
          <w:szCs w:val="18"/>
          <w:lang w:val="en-US"/>
        </w:rPr>
      </w:pPr>
      <w:r w:rsidRPr="00DE79CB">
        <w:rPr>
          <w:rFonts w:ascii="Verdana" w:eastAsia="Verdana" w:hAnsi="Verdana" w:cs="Verdana"/>
          <w:i/>
          <w:iCs/>
          <w:sz w:val="18"/>
          <w:szCs w:val="18"/>
          <w:lang w:val="en-GB"/>
        </w:rPr>
        <w:t>4.4.4 Capacity-</w:t>
      </w:r>
      <w:r w:rsidR="00EF71CD" w:rsidRPr="00DE79CB">
        <w:rPr>
          <w:rFonts w:ascii="Verdana" w:eastAsia="Verdana" w:hAnsi="Verdana" w:cs="Verdana"/>
          <w:i/>
          <w:iCs/>
          <w:sz w:val="18"/>
          <w:szCs w:val="18"/>
          <w:lang w:val="en-GB"/>
        </w:rPr>
        <w:t xml:space="preserve">strengthening </w:t>
      </w:r>
      <w:r w:rsidRPr="00DE79CB">
        <w:rPr>
          <w:rFonts w:ascii="Verdana" w:eastAsia="Verdana" w:hAnsi="Verdana" w:cs="Verdana"/>
          <w:i/>
          <w:iCs/>
          <w:sz w:val="18"/>
          <w:szCs w:val="18"/>
          <w:lang w:val="en-GB"/>
        </w:rPr>
        <w:t>activities</w:t>
      </w:r>
    </w:p>
    <w:p w14:paraId="7978BCE4" w14:textId="4163AC0B" w:rsidR="0070377B" w:rsidRPr="00DE79CB" w:rsidRDefault="00482649"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 xml:space="preserve">The applicant provides assistance to in-country partners in strengthening their capacity as a service provider and dialogue partner, in line with their specific needs and in mutual consultation. Capacity </w:t>
      </w:r>
      <w:r w:rsidR="00EF71CD" w:rsidRPr="00DE79CB">
        <w:rPr>
          <w:rFonts w:ascii="Verdana" w:eastAsia="Verdana" w:hAnsi="Verdana" w:cs="Verdana"/>
          <w:sz w:val="18"/>
          <w:szCs w:val="18"/>
          <w:lang w:val="en-GB"/>
        </w:rPr>
        <w:t xml:space="preserve">strengthening </w:t>
      </w:r>
      <w:r w:rsidRPr="00DE79CB">
        <w:rPr>
          <w:rFonts w:ascii="Verdana" w:eastAsia="Verdana" w:hAnsi="Verdana" w:cs="Verdana"/>
          <w:sz w:val="18"/>
          <w:szCs w:val="18"/>
          <w:lang w:val="en-GB"/>
        </w:rPr>
        <w:t xml:space="preserve">may include training, coaching, technical assistance, mentoring, knowledge sharing or the provision of resources to strengthen internal systems and processes. Civil society organisations may also draw on their knowledge of the Dutch and European markets to connect local civil society organisations with Dutch enterprises and their suppliers. This support contributes to the overall effectiveness and autonomy of the in-country partners and their programmes. </w:t>
      </w:r>
    </w:p>
    <w:p w14:paraId="41108C54" w14:textId="77777777" w:rsidR="0070377B" w:rsidRPr="00DE79CB" w:rsidRDefault="0070377B" w:rsidP="00655670">
      <w:pPr>
        <w:spacing w:after="0" w:line="240" w:lineRule="auto"/>
        <w:rPr>
          <w:rFonts w:ascii="Verdana" w:eastAsia="Verdana" w:hAnsi="Verdana" w:cs="Verdana"/>
          <w:sz w:val="18"/>
          <w:szCs w:val="18"/>
          <w:lang w:val="en-US"/>
        </w:rPr>
      </w:pPr>
    </w:p>
    <w:p w14:paraId="7BD2F427" w14:textId="61997F30" w:rsidR="00482649" w:rsidRPr="00DE79CB" w:rsidRDefault="00482649"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 xml:space="preserve">Capacity </w:t>
      </w:r>
      <w:r w:rsidR="00EF71CD" w:rsidRPr="00DE79CB">
        <w:rPr>
          <w:rFonts w:ascii="Verdana" w:eastAsia="Verdana" w:hAnsi="Verdana" w:cs="Verdana"/>
          <w:sz w:val="18"/>
          <w:szCs w:val="18"/>
          <w:lang w:val="en-GB"/>
        </w:rPr>
        <w:t xml:space="preserve">strengthening </w:t>
      </w:r>
      <w:r w:rsidRPr="00DE79CB">
        <w:rPr>
          <w:rFonts w:ascii="Verdana" w:eastAsia="Verdana" w:hAnsi="Verdana" w:cs="Verdana"/>
          <w:sz w:val="18"/>
          <w:szCs w:val="18"/>
          <w:lang w:val="en-GB"/>
        </w:rPr>
        <w:t>may focus on:</w:t>
      </w:r>
    </w:p>
    <w:p w14:paraId="66ED7433" w14:textId="3273317F" w:rsidR="00482649" w:rsidRPr="00DE79CB" w:rsidRDefault="00482649" w:rsidP="00655670">
      <w:pPr>
        <w:pStyle w:val="Lijstalinea"/>
        <w:numPr>
          <w:ilvl w:val="0"/>
          <w:numId w:val="36"/>
        </w:num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General management: e.g. human resources, financial and operational management;</w:t>
      </w:r>
    </w:p>
    <w:p w14:paraId="3E8FC86E" w14:textId="734FEEAD" w:rsidR="00482649" w:rsidRPr="00DE79CB" w:rsidRDefault="00482649" w:rsidP="00655670">
      <w:pPr>
        <w:pStyle w:val="Lijstalinea"/>
        <w:numPr>
          <w:ilvl w:val="0"/>
          <w:numId w:val="36"/>
        </w:num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lastRenderedPageBreak/>
        <w:t xml:space="preserve">Substantive and technical capacity: expertise and skills that are directly related to the provision of services aimed at promoting </w:t>
      </w:r>
      <w:r w:rsidR="00487EC6" w:rsidRPr="00DE79CB">
        <w:rPr>
          <w:rFonts w:ascii="Verdana" w:eastAsia="Verdana" w:hAnsi="Verdana" w:cs="Verdana"/>
          <w:sz w:val="18"/>
          <w:szCs w:val="18"/>
          <w:lang w:val="en-GB"/>
        </w:rPr>
        <w:t xml:space="preserve">sustainable </w:t>
      </w:r>
      <w:r w:rsidRPr="00DE79CB">
        <w:rPr>
          <w:rFonts w:ascii="Verdana" w:eastAsia="Verdana" w:hAnsi="Verdana" w:cs="Verdana"/>
          <w:sz w:val="18"/>
          <w:szCs w:val="18"/>
          <w:lang w:val="en-GB"/>
        </w:rPr>
        <w:t>and fair trade, such as awareness raising on, and compliance with, international standards and guidelines on responsible business conduct.</w:t>
      </w:r>
    </w:p>
    <w:p w14:paraId="2D090020" w14:textId="5277EA15" w:rsidR="00482649" w:rsidRPr="00DE79CB" w:rsidRDefault="00482649" w:rsidP="00655670">
      <w:pPr>
        <w:pStyle w:val="Lijstalinea"/>
        <w:numPr>
          <w:ilvl w:val="0"/>
          <w:numId w:val="36"/>
        </w:num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 xml:space="preserve">Dialogue capacity: the ability of organisations to participate effectively in, or lead, policy dialogue at </w:t>
      </w:r>
      <w:r w:rsidR="00626CD2" w:rsidRPr="00DE79CB">
        <w:rPr>
          <w:rFonts w:ascii="Verdana" w:eastAsia="Verdana" w:hAnsi="Verdana" w:cs="Verdana"/>
          <w:sz w:val="18"/>
          <w:szCs w:val="18"/>
          <w:lang w:val="en-GB"/>
        </w:rPr>
        <w:t>(sub-)national</w:t>
      </w:r>
      <w:r w:rsidRPr="00DE79CB">
        <w:rPr>
          <w:rFonts w:ascii="Verdana" w:eastAsia="Verdana" w:hAnsi="Verdana" w:cs="Verdana"/>
          <w:sz w:val="18"/>
          <w:szCs w:val="18"/>
          <w:lang w:val="en-GB"/>
        </w:rPr>
        <w:t>, regional and international levels, as defined in section 4.4.3. This may also involve networking with Dutch companies.</w:t>
      </w:r>
    </w:p>
    <w:p w14:paraId="0E61DD76" w14:textId="77777777" w:rsidR="0070377B" w:rsidRPr="00DE79CB" w:rsidRDefault="0070377B" w:rsidP="00655670">
      <w:pPr>
        <w:spacing w:after="0" w:line="240" w:lineRule="auto"/>
        <w:rPr>
          <w:rFonts w:ascii="Verdana" w:eastAsia="Verdana" w:hAnsi="Verdana" w:cs="Verdana"/>
          <w:sz w:val="18"/>
          <w:szCs w:val="18"/>
          <w:lang w:val="en-US"/>
        </w:rPr>
      </w:pPr>
    </w:p>
    <w:p w14:paraId="4D568F23" w14:textId="34647ED1" w:rsidR="00482649" w:rsidRPr="00DE79CB" w:rsidRDefault="00482649"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Such support may be provided:</w:t>
      </w:r>
    </w:p>
    <w:p w14:paraId="0CBDFE72" w14:textId="0C0ECC70" w:rsidR="00482649" w:rsidRPr="00DE79CB" w:rsidRDefault="00482649" w:rsidP="00655670">
      <w:pPr>
        <w:pStyle w:val="Lijstalinea"/>
        <w:numPr>
          <w:ilvl w:val="0"/>
          <w:numId w:val="37"/>
        </w:numPr>
        <w:spacing w:after="0" w:line="240" w:lineRule="auto"/>
        <w:rPr>
          <w:rFonts w:ascii="Verdana" w:eastAsia="Verdana" w:hAnsi="Verdana" w:cs="Verdana"/>
          <w:sz w:val="18"/>
          <w:szCs w:val="18"/>
        </w:rPr>
      </w:pPr>
      <w:r w:rsidRPr="00DE79CB">
        <w:rPr>
          <w:rFonts w:ascii="Verdana" w:eastAsia="Verdana" w:hAnsi="Verdana" w:cs="Verdana"/>
          <w:sz w:val="18"/>
          <w:szCs w:val="18"/>
          <w:lang w:val="en-GB"/>
        </w:rPr>
        <w:t>Directly by the applicant;</w:t>
      </w:r>
    </w:p>
    <w:p w14:paraId="6FD70EE3" w14:textId="51417E85" w:rsidR="00482649" w:rsidRPr="00DE79CB" w:rsidRDefault="00482649" w:rsidP="00655670">
      <w:pPr>
        <w:pStyle w:val="Lijstalinea"/>
        <w:numPr>
          <w:ilvl w:val="0"/>
          <w:numId w:val="37"/>
        </w:num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Indirectly through third parties engaged by the applicant;</w:t>
      </w:r>
    </w:p>
    <w:p w14:paraId="28631280" w14:textId="57BF39CC" w:rsidR="00482649" w:rsidRPr="00DE79CB" w:rsidRDefault="00482649" w:rsidP="00655670">
      <w:pPr>
        <w:pStyle w:val="Lijstalinea"/>
        <w:numPr>
          <w:ilvl w:val="0"/>
          <w:numId w:val="37"/>
        </w:num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By in-country partners themselves, using financial support provided by the applicant.</w:t>
      </w:r>
    </w:p>
    <w:p w14:paraId="68EAFB64" w14:textId="77777777" w:rsidR="0070377B" w:rsidRPr="00DE79CB" w:rsidRDefault="0070377B" w:rsidP="00655670">
      <w:pPr>
        <w:spacing w:after="0" w:line="240" w:lineRule="auto"/>
        <w:rPr>
          <w:rFonts w:ascii="Verdana" w:eastAsia="Verdana" w:hAnsi="Verdana" w:cs="Verdana"/>
          <w:sz w:val="18"/>
          <w:szCs w:val="18"/>
          <w:lang w:val="en-US"/>
        </w:rPr>
      </w:pPr>
    </w:p>
    <w:p w14:paraId="7BC99209" w14:textId="5B79C0EC" w:rsidR="00482649" w:rsidRPr="00DE79CB" w:rsidRDefault="00482649"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Capacity building can take place at several levels:</w:t>
      </w:r>
    </w:p>
    <w:p w14:paraId="7EF465CB" w14:textId="629F4AE4" w:rsidR="00482649" w:rsidRPr="00DE79CB" w:rsidRDefault="00482649" w:rsidP="00655670">
      <w:pPr>
        <w:pStyle w:val="Lijstalinea"/>
        <w:numPr>
          <w:ilvl w:val="0"/>
          <w:numId w:val="38"/>
        </w:num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Individual level: developing the knowledge and skills of staff.</w:t>
      </w:r>
    </w:p>
    <w:p w14:paraId="00F206C6" w14:textId="36A82739" w:rsidR="00482649" w:rsidRPr="00DE79CB" w:rsidRDefault="00482649" w:rsidP="00655670">
      <w:pPr>
        <w:pStyle w:val="Lijstalinea"/>
        <w:numPr>
          <w:ilvl w:val="0"/>
          <w:numId w:val="38"/>
        </w:num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Team level: improving cooperation and internal processes.</w:t>
      </w:r>
    </w:p>
    <w:p w14:paraId="5FFA8E4E" w14:textId="45D3E654" w:rsidR="00482649" w:rsidRPr="00DE79CB" w:rsidRDefault="00482649" w:rsidP="00655670">
      <w:pPr>
        <w:pStyle w:val="Lijstalinea"/>
        <w:numPr>
          <w:ilvl w:val="0"/>
          <w:numId w:val="38"/>
        </w:num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Organisational level: strengthening the organisation’s structure, leadership, strategy and systems.</w:t>
      </w:r>
    </w:p>
    <w:p w14:paraId="1825A52F" w14:textId="77777777" w:rsidR="0040163C" w:rsidRPr="00DE79CB" w:rsidRDefault="0040163C" w:rsidP="00655670">
      <w:pPr>
        <w:spacing w:after="0" w:line="240" w:lineRule="auto"/>
        <w:rPr>
          <w:rFonts w:ascii="Verdana" w:eastAsia="Verdana" w:hAnsi="Verdana" w:cs="Verdana"/>
          <w:i/>
          <w:iCs/>
          <w:sz w:val="18"/>
          <w:szCs w:val="18"/>
          <w:lang w:val="en-US"/>
        </w:rPr>
      </w:pPr>
    </w:p>
    <w:p w14:paraId="3C7CCA43" w14:textId="0864A549" w:rsidR="00D52211" w:rsidRPr="00DE79CB" w:rsidRDefault="00D52211" w:rsidP="00655670">
      <w:pPr>
        <w:spacing w:after="0" w:line="240" w:lineRule="auto"/>
        <w:rPr>
          <w:rFonts w:ascii="Verdana" w:eastAsia="Verdana" w:hAnsi="Verdana" w:cs="Verdana"/>
          <w:i/>
          <w:sz w:val="18"/>
          <w:szCs w:val="18"/>
          <w:lang w:val="en-US"/>
        </w:rPr>
      </w:pPr>
      <w:r w:rsidRPr="00DE79CB">
        <w:rPr>
          <w:rFonts w:ascii="Verdana" w:eastAsia="Verdana" w:hAnsi="Verdana" w:cs="Verdana"/>
          <w:i/>
          <w:iCs/>
          <w:sz w:val="18"/>
          <w:szCs w:val="18"/>
          <w:lang w:val="en-GB"/>
        </w:rPr>
        <w:t>4.5 Duration of activities</w:t>
      </w:r>
    </w:p>
    <w:p w14:paraId="503CA992" w14:textId="5F3C1F24" w:rsidR="0093199B" w:rsidRPr="00DE79CB" w:rsidRDefault="00D52211"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 xml:space="preserve">The activities have a total duration of 60 months and must commence within two months after the grant is awarded. The first implementation phase, which forms part of this 60 month period, consists of a so called inception phase of six months. </w:t>
      </w:r>
    </w:p>
    <w:p w14:paraId="2077C159" w14:textId="77777777" w:rsidR="00DB3E1E" w:rsidRPr="00DE79CB" w:rsidRDefault="00DB3E1E" w:rsidP="00655670">
      <w:pPr>
        <w:spacing w:after="0" w:line="240" w:lineRule="auto"/>
        <w:rPr>
          <w:rFonts w:ascii="Verdana" w:eastAsia="Verdana" w:hAnsi="Verdana" w:cs="Verdana"/>
          <w:sz w:val="18"/>
          <w:szCs w:val="18"/>
          <w:u w:val="single"/>
          <w:lang w:val="en-US"/>
        </w:rPr>
      </w:pPr>
    </w:p>
    <w:p w14:paraId="2D414155" w14:textId="5381FA65" w:rsidR="00DB3E1E" w:rsidRPr="00DE79CB" w:rsidRDefault="000F170C" w:rsidP="00655670">
      <w:pPr>
        <w:spacing w:after="0" w:line="240" w:lineRule="auto"/>
        <w:rPr>
          <w:rFonts w:ascii="Verdana" w:eastAsia="Verdana" w:hAnsi="Verdana" w:cs="Verdana"/>
          <w:sz w:val="16"/>
          <w:szCs w:val="16"/>
          <w:u w:val="single"/>
          <w:lang w:val="en-US"/>
        </w:rPr>
      </w:pPr>
      <w:r w:rsidRPr="00DE79CB">
        <w:rPr>
          <w:rFonts w:ascii="Verdana" w:eastAsia="Verdana" w:hAnsi="Verdana" w:cs="Verdana"/>
          <w:noProof/>
          <w:sz w:val="16"/>
          <w:szCs w:val="16"/>
          <w:u w:val="single"/>
          <w:lang w:val="en-GB"/>
        </w:rPr>
        <mc:AlternateContent>
          <mc:Choice Requires="wps">
            <w:drawing>
              <wp:anchor distT="45720" distB="45720" distL="114300" distR="114300" simplePos="0" relativeHeight="251659264" behindDoc="0" locked="0" layoutInCell="1" allowOverlap="1" wp14:anchorId="3C6FD247" wp14:editId="2EFF31BB">
                <wp:simplePos x="0" y="0"/>
                <wp:positionH relativeFrom="margin">
                  <wp:align>right</wp:align>
                </wp:positionH>
                <wp:positionV relativeFrom="paragraph">
                  <wp:posOffset>178435</wp:posOffset>
                </wp:positionV>
                <wp:extent cx="5748655" cy="1404620"/>
                <wp:effectExtent l="0" t="0" r="23495" b="2032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951" cy="1404620"/>
                        </a:xfrm>
                        <a:prstGeom prst="rect">
                          <a:avLst/>
                        </a:prstGeom>
                        <a:solidFill>
                          <a:srgbClr val="FFFFFF"/>
                        </a:solidFill>
                        <a:ln w="9525">
                          <a:solidFill>
                            <a:srgbClr val="000000"/>
                          </a:solidFill>
                          <a:miter lim="800000"/>
                          <a:headEnd/>
                          <a:tailEnd/>
                        </a:ln>
                      </wps:spPr>
                      <wps:txbx>
                        <w:txbxContent>
                          <w:p w14:paraId="50BE552A" w14:textId="051387E4" w:rsidR="000F170C" w:rsidRPr="000F170C" w:rsidRDefault="000F170C" w:rsidP="000F170C">
                            <w:pPr>
                              <w:spacing w:after="0" w:line="240" w:lineRule="auto"/>
                              <w:rPr>
                                <w:rFonts w:ascii="Verdana" w:eastAsia="Verdana" w:hAnsi="Verdana" w:cs="Verdana"/>
                                <w:sz w:val="16"/>
                                <w:szCs w:val="16"/>
                                <w:lang w:val="en-US"/>
                              </w:rPr>
                            </w:pPr>
                            <w:r w:rsidRPr="000F170C">
                              <w:rPr>
                                <w:rFonts w:ascii="Verdana" w:eastAsia="Verdana" w:hAnsi="Verdana" w:cs="Verdana"/>
                                <w:sz w:val="16"/>
                                <w:szCs w:val="16"/>
                                <w:lang w:val="en-GB"/>
                              </w:rPr>
                              <w:t xml:space="preserve">After the grants are awarded, all grant recipients shall </w:t>
                            </w:r>
                            <w:r w:rsidR="00EF71CD">
                              <w:rPr>
                                <w:rFonts w:ascii="Verdana" w:eastAsia="Verdana" w:hAnsi="Verdana" w:cs="Verdana"/>
                                <w:sz w:val="16"/>
                                <w:szCs w:val="16"/>
                                <w:lang w:val="en-GB"/>
                              </w:rPr>
                              <w:t>follow</w:t>
                            </w:r>
                            <w:r w:rsidRPr="000F170C">
                              <w:rPr>
                                <w:rFonts w:ascii="Verdana" w:eastAsia="Verdana" w:hAnsi="Verdana" w:cs="Verdana"/>
                                <w:sz w:val="16"/>
                                <w:szCs w:val="16"/>
                                <w:lang w:val="en-GB"/>
                              </w:rPr>
                              <w:t xml:space="preserve"> a six-month inception phase, commencing on the start date of the project specified in the grant award decision. </w:t>
                            </w:r>
                          </w:p>
                          <w:p w14:paraId="30D61502" w14:textId="77777777" w:rsidR="000F170C" w:rsidRPr="000F170C" w:rsidRDefault="000F170C" w:rsidP="000F170C">
                            <w:pPr>
                              <w:spacing w:after="0" w:line="240" w:lineRule="auto"/>
                              <w:rPr>
                                <w:rFonts w:ascii="Verdana" w:eastAsia="Verdana" w:hAnsi="Verdana" w:cs="Verdana"/>
                                <w:sz w:val="16"/>
                                <w:szCs w:val="16"/>
                                <w:lang w:val="en-US"/>
                              </w:rPr>
                            </w:pPr>
                          </w:p>
                          <w:p w14:paraId="1FF0C505" w14:textId="27883FE4" w:rsidR="000F170C" w:rsidRPr="000F170C" w:rsidRDefault="000F170C" w:rsidP="000F170C">
                            <w:pPr>
                              <w:spacing w:after="0" w:line="240" w:lineRule="auto"/>
                              <w:rPr>
                                <w:rFonts w:ascii="Verdana" w:eastAsia="Verdana" w:hAnsi="Verdana" w:cs="Verdana"/>
                                <w:sz w:val="16"/>
                                <w:szCs w:val="16"/>
                                <w:lang w:val="en-US"/>
                              </w:rPr>
                            </w:pPr>
                            <w:r w:rsidRPr="000F170C">
                              <w:rPr>
                                <w:rFonts w:ascii="Verdana" w:hAnsi="Verdana"/>
                                <w:sz w:val="16"/>
                                <w:szCs w:val="16"/>
                                <w:lang w:val="en-GB"/>
                              </w:rPr>
                              <w:t xml:space="preserve">During the inception phase, the grant recipient must select the intended partners for the remainder of the project duration and formalise </w:t>
                            </w:r>
                            <w:r w:rsidR="00EF71CD">
                              <w:rPr>
                                <w:rFonts w:ascii="Verdana" w:hAnsi="Verdana"/>
                                <w:sz w:val="16"/>
                                <w:szCs w:val="16"/>
                                <w:lang w:val="en-GB"/>
                              </w:rPr>
                              <w:t>agreements</w:t>
                            </w:r>
                            <w:r w:rsidRPr="000F170C">
                              <w:rPr>
                                <w:rFonts w:ascii="Verdana" w:hAnsi="Verdana"/>
                                <w:sz w:val="16"/>
                                <w:szCs w:val="16"/>
                                <w:lang w:val="en-GB"/>
                              </w:rPr>
                              <w:t xml:space="preserve">, for instance in a cooperation agreement describing roles, responsibilities and risk sharing. Together with the partners selected during the inception phase, </w:t>
                            </w:r>
                            <w:r w:rsidR="00EF71CD">
                              <w:rPr>
                                <w:rFonts w:ascii="Verdana" w:hAnsi="Verdana"/>
                                <w:sz w:val="16"/>
                                <w:szCs w:val="16"/>
                                <w:lang w:val="en-GB"/>
                              </w:rPr>
                              <w:t>grant recipients</w:t>
                            </w:r>
                            <w:r w:rsidR="00EF71CD" w:rsidRPr="000F170C">
                              <w:rPr>
                                <w:rFonts w:ascii="Verdana" w:hAnsi="Verdana"/>
                                <w:sz w:val="16"/>
                                <w:szCs w:val="16"/>
                                <w:lang w:val="en-GB"/>
                              </w:rPr>
                              <w:t xml:space="preserve"> </w:t>
                            </w:r>
                            <w:r w:rsidRPr="000F170C">
                              <w:rPr>
                                <w:rFonts w:ascii="Verdana" w:hAnsi="Verdana"/>
                                <w:sz w:val="16"/>
                                <w:szCs w:val="16"/>
                                <w:lang w:val="en-GB"/>
                              </w:rPr>
                              <w:t xml:space="preserve">must then develop their annual plans and schedule activities for each year, drawing on the local knowledge and experience of the in-country partners. </w:t>
                            </w:r>
                            <w:r w:rsidRPr="003C297D">
                              <w:rPr>
                                <w:rFonts w:ascii="Verdana" w:hAnsi="Verdana"/>
                                <w:sz w:val="16"/>
                                <w:szCs w:val="16"/>
                                <w:lang w:val="en-US"/>
                              </w:rPr>
                              <w:t>During this phase, coordination will also take place with the embassies to ensure that the project implementation aligns with embassy programming where possible.</w:t>
                            </w:r>
                          </w:p>
                          <w:p w14:paraId="72C31BBE" w14:textId="77777777" w:rsidR="000F170C" w:rsidRPr="000F170C" w:rsidRDefault="000F170C" w:rsidP="000F170C">
                            <w:pPr>
                              <w:spacing w:after="0" w:line="240" w:lineRule="auto"/>
                              <w:rPr>
                                <w:rFonts w:ascii="Verdana" w:eastAsia="Verdana" w:hAnsi="Verdana" w:cs="Verdana"/>
                                <w:sz w:val="16"/>
                                <w:szCs w:val="16"/>
                                <w:lang w:val="en-US"/>
                              </w:rPr>
                            </w:pPr>
                          </w:p>
                          <w:p w14:paraId="420C3A70" w14:textId="4A1970AD" w:rsidR="000F170C" w:rsidRPr="000F170C" w:rsidRDefault="000F170C" w:rsidP="000F170C">
                            <w:pPr>
                              <w:spacing w:after="0" w:line="240" w:lineRule="auto"/>
                              <w:rPr>
                                <w:rFonts w:ascii="Verdana" w:eastAsia="Verdana" w:hAnsi="Verdana" w:cs="Verdana"/>
                                <w:sz w:val="16"/>
                                <w:szCs w:val="16"/>
                                <w:lang w:val="en-US"/>
                              </w:rPr>
                            </w:pPr>
                            <w:r w:rsidRPr="000F170C">
                              <w:rPr>
                                <w:rFonts w:ascii="Verdana" w:eastAsia="Verdana" w:hAnsi="Verdana" w:cs="Verdana"/>
                                <w:sz w:val="16"/>
                                <w:szCs w:val="16"/>
                                <w:lang w:val="en-GB"/>
                              </w:rPr>
                              <w:t xml:space="preserve">A key component of the inception phase is the identification of the capacity </w:t>
                            </w:r>
                            <w:r w:rsidR="00EF71CD">
                              <w:rPr>
                                <w:rFonts w:ascii="Verdana" w:eastAsia="Verdana" w:hAnsi="Verdana" w:cs="Verdana"/>
                                <w:sz w:val="16"/>
                                <w:szCs w:val="16"/>
                                <w:lang w:val="en-GB"/>
                              </w:rPr>
                              <w:t>strengthening</w:t>
                            </w:r>
                            <w:r w:rsidR="00EF71CD" w:rsidRPr="000F170C">
                              <w:rPr>
                                <w:rFonts w:ascii="Verdana" w:eastAsia="Verdana" w:hAnsi="Verdana" w:cs="Verdana"/>
                                <w:sz w:val="16"/>
                                <w:szCs w:val="16"/>
                                <w:lang w:val="en-GB"/>
                              </w:rPr>
                              <w:t xml:space="preserve"> </w:t>
                            </w:r>
                            <w:r w:rsidRPr="000F170C">
                              <w:rPr>
                                <w:rFonts w:ascii="Verdana" w:eastAsia="Verdana" w:hAnsi="Verdana" w:cs="Verdana"/>
                                <w:sz w:val="16"/>
                                <w:szCs w:val="16"/>
                                <w:lang w:val="en-GB"/>
                              </w:rPr>
                              <w:t xml:space="preserve">needs of the selected partners. Based on this assessment, the </w:t>
                            </w:r>
                            <w:r w:rsidR="00EF71CD">
                              <w:rPr>
                                <w:rFonts w:ascii="Verdana" w:eastAsia="Verdana" w:hAnsi="Verdana" w:cs="Verdana"/>
                                <w:sz w:val="16"/>
                                <w:szCs w:val="16"/>
                                <w:lang w:val="en-GB"/>
                              </w:rPr>
                              <w:t>grant recipient</w:t>
                            </w:r>
                            <w:r w:rsidR="00EF71CD" w:rsidRPr="000F170C">
                              <w:rPr>
                                <w:rFonts w:ascii="Verdana" w:eastAsia="Verdana" w:hAnsi="Verdana" w:cs="Verdana"/>
                                <w:sz w:val="16"/>
                                <w:szCs w:val="16"/>
                                <w:lang w:val="en-GB"/>
                              </w:rPr>
                              <w:t xml:space="preserve"> </w:t>
                            </w:r>
                            <w:r w:rsidRPr="000F170C">
                              <w:rPr>
                                <w:rFonts w:ascii="Verdana" w:eastAsia="Verdana" w:hAnsi="Verdana" w:cs="Verdana"/>
                                <w:sz w:val="16"/>
                                <w:szCs w:val="16"/>
                                <w:lang w:val="en-GB"/>
                              </w:rPr>
                              <w:t xml:space="preserve">and </w:t>
                            </w:r>
                            <w:r w:rsidR="00EF71CD">
                              <w:rPr>
                                <w:rFonts w:ascii="Verdana" w:eastAsia="Verdana" w:hAnsi="Verdana" w:cs="Verdana"/>
                                <w:sz w:val="16"/>
                                <w:szCs w:val="16"/>
                                <w:lang w:val="en-GB"/>
                              </w:rPr>
                              <w:t xml:space="preserve">its </w:t>
                            </w:r>
                            <w:r w:rsidRPr="000F170C">
                              <w:rPr>
                                <w:rFonts w:ascii="Verdana" w:eastAsia="Verdana" w:hAnsi="Verdana" w:cs="Verdana"/>
                                <w:sz w:val="16"/>
                                <w:szCs w:val="16"/>
                                <w:lang w:val="en-GB"/>
                              </w:rPr>
                              <w:t>partners select the most suitable form of support, such as direct assistance by the grant recipient, indirect assistance through external expertise, or through a financial contribution enabling the partner to procure support independently.</w:t>
                            </w:r>
                          </w:p>
                          <w:p w14:paraId="6A2AC29C" w14:textId="77777777" w:rsidR="000F170C" w:rsidRPr="000F170C" w:rsidRDefault="000F170C" w:rsidP="000F170C">
                            <w:pPr>
                              <w:spacing w:after="0" w:line="240" w:lineRule="auto"/>
                              <w:rPr>
                                <w:rFonts w:ascii="Verdana" w:eastAsia="Verdana" w:hAnsi="Verdana" w:cs="Verdana"/>
                                <w:sz w:val="16"/>
                                <w:szCs w:val="16"/>
                                <w:lang w:val="en-US"/>
                              </w:rPr>
                            </w:pPr>
                          </w:p>
                          <w:p w14:paraId="0578D868" w14:textId="4504256E" w:rsidR="000F170C" w:rsidRPr="000F170C" w:rsidRDefault="000F170C" w:rsidP="000F170C">
                            <w:pPr>
                              <w:spacing w:after="0" w:line="240" w:lineRule="auto"/>
                              <w:rPr>
                                <w:rFonts w:ascii="Verdana" w:eastAsia="Verdana" w:hAnsi="Verdana" w:cs="Verdana"/>
                                <w:sz w:val="16"/>
                                <w:szCs w:val="16"/>
                                <w:lang w:val="en-US"/>
                              </w:rPr>
                            </w:pPr>
                            <w:r w:rsidRPr="000F170C">
                              <w:rPr>
                                <w:rFonts w:ascii="Verdana" w:eastAsia="Verdana" w:hAnsi="Verdana" w:cs="Verdana"/>
                                <w:sz w:val="16"/>
                                <w:szCs w:val="16"/>
                                <w:lang w:val="en-GB"/>
                              </w:rPr>
                              <w:t>The MEL system (Monitoring, Evaluation and Learning) and risk analysis are also refined and finalised during the inception phase. Where relevant, the RVO will facilitate coordination among grant recipients with a view to creating synergy and harmonising indicators.</w:t>
                            </w:r>
                          </w:p>
                          <w:p w14:paraId="0812B951" w14:textId="77777777" w:rsidR="000F170C" w:rsidRPr="000F170C" w:rsidRDefault="000F170C" w:rsidP="000F170C">
                            <w:pPr>
                              <w:spacing w:after="0" w:line="240" w:lineRule="auto"/>
                              <w:rPr>
                                <w:rFonts w:ascii="Verdana" w:eastAsia="Verdana" w:hAnsi="Verdana" w:cs="Verdana"/>
                                <w:sz w:val="16"/>
                                <w:szCs w:val="16"/>
                                <w:lang w:val="en-US"/>
                              </w:rPr>
                            </w:pPr>
                          </w:p>
                          <w:p w14:paraId="515C205B" w14:textId="285E0C30" w:rsidR="000F170C" w:rsidRPr="000F170C" w:rsidRDefault="000F170C" w:rsidP="000F170C">
                            <w:pPr>
                              <w:spacing w:after="0" w:line="240" w:lineRule="auto"/>
                              <w:rPr>
                                <w:rFonts w:ascii="Verdana" w:eastAsia="Verdana" w:hAnsi="Verdana" w:cs="Verdana"/>
                                <w:sz w:val="16"/>
                                <w:szCs w:val="16"/>
                                <w:lang w:val="en-US"/>
                              </w:rPr>
                            </w:pPr>
                            <w:r w:rsidRPr="000F170C">
                              <w:rPr>
                                <w:rFonts w:ascii="Verdana" w:eastAsia="Verdana" w:hAnsi="Verdana" w:cs="Verdana"/>
                                <w:sz w:val="16"/>
                                <w:szCs w:val="16"/>
                                <w:lang w:val="en-GB"/>
                              </w:rPr>
                              <w:t>Grant recipients operating in the same country must coordinate their programming during the inception phase to prevent duplicate financing, overlapping capacity-</w:t>
                            </w:r>
                            <w:r w:rsidR="002960CF">
                              <w:rPr>
                                <w:rFonts w:ascii="Verdana" w:eastAsia="Verdana" w:hAnsi="Verdana" w:cs="Verdana"/>
                                <w:sz w:val="16"/>
                                <w:szCs w:val="16"/>
                                <w:lang w:val="en-GB"/>
                              </w:rPr>
                              <w:t xml:space="preserve">strengthening </w:t>
                            </w:r>
                            <w:r w:rsidRPr="000F170C">
                              <w:rPr>
                                <w:rFonts w:ascii="Verdana" w:eastAsia="Verdana" w:hAnsi="Verdana" w:cs="Verdana"/>
                                <w:sz w:val="16"/>
                                <w:szCs w:val="16"/>
                                <w:lang w:val="en-GB"/>
                              </w:rPr>
                              <w:t>activities or thematic overlap.</w:t>
                            </w:r>
                          </w:p>
                          <w:p w14:paraId="56522B48" w14:textId="77777777" w:rsidR="000F170C" w:rsidRPr="000F170C" w:rsidRDefault="000F170C" w:rsidP="000F170C">
                            <w:pPr>
                              <w:spacing w:after="0" w:line="240" w:lineRule="auto"/>
                              <w:rPr>
                                <w:rFonts w:ascii="Verdana" w:eastAsia="Verdana" w:hAnsi="Verdana" w:cs="Verdana"/>
                                <w:sz w:val="16"/>
                                <w:szCs w:val="16"/>
                                <w:lang w:val="en-US"/>
                              </w:rPr>
                            </w:pPr>
                          </w:p>
                          <w:p w14:paraId="29535C66" w14:textId="3B065153" w:rsidR="000F170C" w:rsidRPr="000F170C" w:rsidRDefault="000F170C" w:rsidP="000F170C">
                            <w:pPr>
                              <w:spacing w:after="0" w:line="240" w:lineRule="auto"/>
                              <w:rPr>
                                <w:rFonts w:ascii="Verdana" w:eastAsia="Verdana" w:hAnsi="Verdana" w:cs="Verdana"/>
                                <w:sz w:val="16"/>
                                <w:szCs w:val="16"/>
                                <w:lang w:val="en-US"/>
                              </w:rPr>
                            </w:pPr>
                            <w:r w:rsidRPr="000F170C">
                              <w:rPr>
                                <w:rFonts w:ascii="Verdana" w:eastAsia="Verdana" w:hAnsi="Verdana" w:cs="Verdana"/>
                                <w:sz w:val="16"/>
                                <w:szCs w:val="16"/>
                                <w:lang w:val="en-GB"/>
                              </w:rPr>
                              <w:t xml:space="preserve">Where the implementation of the project involves vulnerable groups, an in-depth integrity policy is also drawn up during the inception phase. </w:t>
                            </w:r>
                            <w:r w:rsidR="002960CF">
                              <w:rPr>
                                <w:rFonts w:ascii="Verdana" w:eastAsia="Verdana" w:hAnsi="Verdana" w:cs="Verdana"/>
                                <w:sz w:val="16"/>
                                <w:szCs w:val="16"/>
                                <w:lang w:val="en-GB"/>
                              </w:rPr>
                              <w:t>Grant recipients</w:t>
                            </w:r>
                            <w:r w:rsidR="002960CF" w:rsidRPr="000F170C">
                              <w:rPr>
                                <w:rFonts w:ascii="Verdana" w:eastAsia="Verdana" w:hAnsi="Verdana" w:cs="Verdana"/>
                                <w:sz w:val="16"/>
                                <w:szCs w:val="16"/>
                                <w:lang w:val="en-GB"/>
                              </w:rPr>
                              <w:t xml:space="preserve"> </w:t>
                            </w:r>
                            <w:r w:rsidRPr="000F170C">
                              <w:rPr>
                                <w:rFonts w:ascii="Verdana" w:eastAsia="Verdana" w:hAnsi="Verdana" w:cs="Verdana"/>
                                <w:sz w:val="16"/>
                                <w:szCs w:val="16"/>
                                <w:lang w:val="en-GB"/>
                              </w:rPr>
                              <w:t xml:space="preserve">are required to submit an inception report for this phase with their first annual plan, using the RVO template. </w:t>
                            </w:r>
                          </w:p>
                          <w:p w14:paraId="7E0C7677" w14:textId="77777777" w:rsidR="000F170C" w:rsidRPr="000F170C" w:rsidRDefault="000F170C" w:rsidP="000F170C">
                            <w:pPr>
                              <w:spacing w:after="0" w:line="240" w:lineRule="auto"/>
                              <w:rPr>
                                <w:rFonts w:ascii="Verdana" w:eastAsia="Verdana" w:hAnsi="Verdana" w:cs="Verdana"/>
                                <w:sz w:val="16"/>
                                <w:szCs w:val="16"/>
                                <w:lang w:val="en-US"/>
                              </w:rPr>
                            </w:pPr>
                          </w:p>
                          <w:p w14:paraId="737CBEB3" w14:textId="4DCAD55E" w:rsidR="000F170C" w:rsidRPr="003C297D" w:rsidRDefault="000F170C" w:rsidP="000F170C">
                            <w:pPr>
                              <w:spacing w:after="0" w:line="240" w:lineRule="auto"/>
                              <w:rPr>
                                <w:rFonts w:ascii="Verdana" w:eastAsia="Verdana" w:hAnsi="Verdana" w:cs="Verdana"/>
                                <w:sz w:val="16"/>
                                <w:szCs w:val="16"/>
                                <w:lang w:val="en-US"/>
                              </w:rPr>
                            </w:pPr>
                            <w:r w:rsidRPr="003C297D">
                              <w:rPr>
                                <w:rFonts w:ascii="Verdana" w:eastAsia="Verdana" w:hAnsi="Verdana" w:cs="Verdana"/>
                                <w:sz w:val="16"/>
                                <w:szCs w:val="16"/>
                                <w:lang w:val="en-US"/>
                              </w:rPr>
                              <w:t>RVO assesses the inception phase report and the first annual plan. The costs for the implementation phase are only eligible  after the inception phase report and the first annual plan have been approved.</w:t>
                            </w:r>
                          </w:p>
                          <w:p w14:paraId="5229A78B" w14:textId="65911491" w:rsidR="000F170C" w:rsidRPr="000F170C" w:rsidRDefault="000F170C" w:rsidP="000F170C">
                            <w:pPr>
                              <w:spacing w:after="0" w:line="240" w:lineRule="auto"/>
                              <w:rPr>
                                <w:rFonts w:ascii="Verdana" w:eastAsia="Verdana" w:hAnsi="Verdana" w:cs="Verdana"/>
                                <w:sz w:val="16"/>
                                <w:szCs w:val="16"/>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6FD247" id="_x0000_t202" coordsize="21600,21600" o:spt="202" path="m,l,21600r21600,l21600,xe">
                <v:stroke joinstyle="miter"/>
                <v:path gradientshapeok="t" o:connecttype="rect"/>
              </v:shapetype>
              <v:shape id="Text Box 2" o:spid="_x0000_s1026" type="#_x0000_t202" style="position:absolute;margin-left:401.45pt;margin-top:14.05pt;width:452.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">
                <v:textbox style="mso-fit-shape-to-text:t">
                  <w:txbxContent>
                    <w:p w14:paraId="50BE552A" w14:textId="051387E4" w:rsidR="000F170C" w:rsidRPr="000F170C" w:rsidRDefault="000F170C" w:rsidP="000F170C">
                      <w:pPr>
                        <w:spacing w:after="0" w:line="240" w:lineRule="auto"/>
                        <w:rPr>
                          <w:rFonts w:ascii="Verdana" w:eastAsia="Verdana" w:hAnsi="Verdana" w:cs="Verdana"/>
                          <w:sz w:val="16"/>
                          <w:szCs w:val="16"/>
                          <w:lang w:val="en-US"/>
                        </w:rPr>
                      </w:pPr>
                      <w:r w:rsidRPr="000F170C">
                        <w:rPr>
                          <w:rFonts w:ascii="Verdana" w:eastAsia="Verdana" w:hAnsi="Verdana" w:cs="Verdana"/>
                          <w:sz w:val="16"/>
                          <w:szCs w:val="16"/>
                          <w:lang w:val="en-GB"/>
                        </w:rPr>
                        <w:t xml:space="preserve">After the grants are awarded, all grant recipients shall </w:t>
                      </w:r>
                      <w:r w:rsidR="00EF71CD">
                        <w:rPr>
                          <w:rFonts w:ascii="Verdana" w:eastAsia="Verdana" w:hAnsi="Verdana" w:cs="Verdana"/>
                          <w:sz w:val="16"/>
                          <w:szCs w:val="16"/>
                          <w:lang w:val="en-GB"/>
                        </w:rPr>
                        <w:t>follow</w:t>
                      </w:r>
                      <w:r w:rsidRPr="000F170C">
                        <w:rPr>
                          <w:rFonts w:ascii="Verdana" w:eastAsia="Verdana" w:hAnsi="Verdana" w:cs="Verdana"/>
                          <w:sz w:val="16"/>
                          <w:szCs w:val="16"/>
                          <w:lang w:val="en-GB"/>
                        </w:rPr>
                        <w:t xml:space="preserve"> a six-month inception phase, commencing on the start date of the project specified in the grant award decision. </w:t>
                      </w:r>
                    </w:p>
                    <w:p w14:paraId="30D61502" w14:textId="77777777" w:rsidR="000F170C" w:rsidRPr="000F170C" w:rsidRDefault="000F170C" w:rsidP="000F170C">
                      <w:pPr>
                        <w:spacing w:after="0" w:line="240" w:lineRule="auto"/>
                        <w:rPr>
                          <w:rFonts w:ascii="Verdana" w:eastAsia="Verdana" w:hAnsi="Verdana" w:cs="Verdana"/>
                          <w:sz w:val="16"/>
                          <w:szCs w:val="16"/>
                          <w:lang w:val="en-US"/>
                        </w:rPr>
                      </w:pPr>
                    </w:p>
                    <w:p w14:paraId="1FF0C505" w14:textId="27883FE4" w:rsidR="000F170C" w:rsidRPr="000F170C" w:rsidRDefault="000F170C" w:rsidP="000F170C">
                      <w:pPr>
                        <w:spacing w:after="0" w:line="240" w:lineRule="auto"/>
                        <w:rPr>
                          <w:rFonts w:ascii="Verdana" w:eastAsia="Verdana" w:hAnsi="Verdana" w:cs="Verdana"/>
                          <w:sz w:val="16"/>
                          <w:szCs w:val="16"/>
                          <w:lang w:val="en-US"/>
                        </w:rPr>
                      </w:pPr>
                      <w:r w:rsidRPr="000F170C">
                        <w:rPr>
                          <w:rFonts w:ascii="Verdana" w:hAnsi="Verdana"/>
                          <w:sz w:val="16"/>
                          <w:szCs w:val="16"/>
                          <w:lang w:val="en-GB"/>
                        </w:rPr>
                        <w:t xml:space="preserve">During the inception phase, the grant recipient must select the intended partners for the remainder of the project duration and formalise </w:t>
                      </w:r>
                      <w:r w:rsidR="00EF71CD">
                        <w:rPr>
                          <w:rFonts w:ascii="Verdana" w:hAnsi="Verdana"/>
                          <w:sz w:val="16"/>
                          <w:szCs w:val="16"/>
                          <w:lang w:val="en-GB"/>
                        </w:rPr>
                        <w:t>agreements</w:t>
                      </w:r>
                      <w:r w:rsidRPr="000F170C">
                        <w:rPr>
                          <w:rFonts w:ascii="Verdana" w:hAnsi="Verdana"/>
                          <w:sz w:val="16"/>
                          <w:szCs w:val="16"/>
                          <w:lang w:val="en-GB"/>
                        </w:rPr>
                        <w:t xml:space="preserve">, for instance in a cooperation agreement describing roles, responsibilities and risk sharing. Together with the partners selected during the inception phase, </w:t>
                      </w:r>
                      <w:r w:rsidR="00EF71CD">
                        <w:rPr>
                          <w:rFonts w:ascii="Verdana" w:hAnsi="Verdana"/>
                          <w:sz w:val="16"/>
                          <w:szCs w:val="16"/>
                          <w:lang w:val="en-GB"/>
                        </w:rPr>
                        <w:t>grant recipients</w:t>
                      </w:r>
                      <w:r w:rsidR="00EF71CD" w:rsidRPr="000F170C">
                        <w:rPr>
                          <w:rFonts w:ascii="Verdana" w:hAnsi="Verdana"/>
                          <w:sz w:val="16"/>
                          <w:szCs w:val="16"/>
                          <w:lang w:val="en-GB"/>
                        </w:rPr>
                        <w:t xml:space="preserve"> </w:t>
                      </w:r>
                      <w:r w:rsidRPr="000F170C">
                        <w:rPr>
                          <w:rFonts w:ascii="Verdana" w:hAnsi="Verdana"/>
                          <w:sz w:val="16"/>
                          <w:szCs w:val="16"/>
                          <w:lang w:val="en-GB"/>
                        </w:rPr>
                        <w:t xml:space="preserve">must then develop their annual plans and schedule activities for each year, drawing on the local knowledge and experience of the in-country partners. </w:t>
                      </w:r>
                      <w:r w:rsidRPr="003C297D">
                        <w:rPr>
                          <w:rFonts w:ascii="Verdana" w:hAnsi="Verdana"/>
                          <w:sz w:val="16"/>
                          <w:szCs w:val="16"/>
                          <w:lang w:val="en-US"/>
                        </w:rPr>
                        <w:t>During this phase, coordination will also take place with the embassies to ensure that the project implementation aligns with embassy programming where possible.</w:t>
                      </w:r>
                    </w:p>
                    <w:p w14:paraId="72C31BBE" w14:textId="77777777" w:rsidR="000F170C" w:rsidRPr="000F170C" w:rsidRDefault="000F170C" w:rsidP="000F170C">
                      <w:pPr>
                        <w:spacing w:after="0" w:line="240" w:lineRule="auto"/>
                        <w:rPr>
                          <w:rFonts w:ascii="Verdana" w:eastAsia="Verdana" w:hAnsi="Verdana" w:cs="Verdana"/>
                          <w:sz w:val="16"/>
                          <w:szCs w:val="16"/>
                          <w:lang w:val="en-US"/>
                        </w:rPr>
                      </w:pPr>
                    </w:p>
                    <w:p w14:paraId="420C3A70" w14:textId="4A1970AD" w:rsidR="000F170C" w:rsidRPr="000F170C" w:rsidRDefault="000F170C" w:rsidP="000F170C">
                      <w:pPr>
                        <w:spacing w:after="0" w:line="240" w:lineRule="auto"/>
                        <w:rPr>
                          <w:rFonts w:ascii="Verdana" w:eastAsia="Verdana" w:hAnsi="Verdana" w:cs="Verdana"/>
                          <w:sz w:val="16"/>
                          <w:szCs w:val="16"/>
                          <w:lang w:val="en-US"/>
                        </w:rPr>
                      </w:pPr>
                      <w:r w:rsidRPr="000F170C">
                        <w:rPr>
                          <w:rFonts w:ascii="Verdana" w:eastAsia="Verdana" w:hAnsi="Verdana" w:cs="Verdana"/>
                          <w:sz w:val="16"/>
                          <w:szCs w:val="16"/>
                          <w:lang w:val="en-GB"/>
                        </w:rPr>
                        <w:t xml:space="preserve">A key component of the inception phase is the identification of the capacity </w:t>
                      </w:r>
                      <w:r w:rsidR="00EF71CD">
                        <w:rPr>
                          <w:rFonts w:ascii="Verdana" w:eastAsia="Verdana" w:hAnsi="Verdana" w:cs="Verdana"/>
                          <w:sz w:val="16"/>
                          <w:szCs w:val="16"/>
                          <w:lang w:val="en-GB"/>
                        </w:rPr>
                        <w:t>strengthening</w:t>
                      </w:r>
                      <w:r w:rsidR="00EF71CD" w:rsidRPr="000F170C">
                        <w:rPr>
                          <w:rFonts w:ascii="Verdana" w:eastAsia="Verdana" w:hAnsi="Verdana" w:cs="Verdana"/>
                          <w:sz w:val="16"/>
                          <w:szCs w:val="16"/>
                          <w:lang w:val="en-GB"/>
                        </w:rPr>
                        <w:t xml:space="preserve"> </w:t>
                      </w:r>
                      <w:r w:rsidRPr="000F170C">
                        <w:rPr>
                          <w:rFonts w:ascii="Verdana" w:eastAsia="Verdana" w:hAnsi="Verdana" w:cs="Verdana"/>
                          <w:sz w:val="16"/>
                          <w:szCs w:val="16"/>
                          <w:lang w:val="en-GB"/>
                        </w:rPr>
                        <w:t xml:space="preserve">needs of the selected partners. Based on this assessment, the </w:t>
                      </w:r>
                      <w:r w:rsidR="00EF71CD">
                        <w:rPr>
                          <w:rFonts w:ascii="Verdana" w:eastAsia="Verdana" w:hAnsi="Verdana" w:cs="Verdana"/>
                          <w:sz w:val="16"/>
                          <w:szCs w:val="16"/>
                          <w:lang w:val="en-GB"/>
                        </w:rPr>
                        <w:t>grant recipient</w:t>
                      </w:r>
                      <w:r w:rsidR="00EF71CD" w:rsidRPr="000F170C">
                        <w:rPr>
                          <w:rFonts w:ascii="Verdana" w:eastAsia="Verdana" w:hAnsi="Verdana" w:cs="Verdana"/>
                          <w:sz w:val="16"/>
                          <w:szCs w:val="16"/>
                          <w:lang w:val="en-GB"/>
                        </w:rPr>
                        <w:t xml:space="preserve"> </w:t>
                      </w:r>
                      <w:r w:rsidRPr="000F170C">
                        <w:rPr>
                          <w:rFonts w:ascii="Verdana" w:eastAsia="Verdana" w:hAnsi="Verdana" w:cs="Verdana"/>
                          <w:sz w:val="16"/>
                          <w:szCs w:val="16"/>
                          <w:lang w:val="en-GB"/>
                        </w:rPr>
                        <w:t xml:space="preserve">and </w:t>
                      </w:r>
                      <w:r w:rsidR="00EF71CD">
                        <w:rPr>
                          <w:rFonts w:ascii="Verdana" w:eastAsia="Verdana" w:hAnsi="Verdana" w:cs="Verdana"/>
                          <w:sz w:val="16"/>
                          <w:szCs w:val="16"/>
                          <w:lang w:val="en-GB"/>
                        </w:rPr>
                        <w:t xml:space="preserve">its </w:t>
                      </w:r>
                      <w:r w:rsidRPr="000F170C">
                        <w:rPr>
                          <w:rFonts w:ascii="Verdana" w:eastAsia="Verdana" w:hAnsi="Verdana" w:cs="Verdana"/>
                          <w:sz w:val="16"/>
                          <w:szCs w:val="16"/>
                          <w:lang w:val="en-GB"/>
                        </w:rPr>
                        <w:t>partners select the most suitable form of support, such as direct assistance by the grant recipient, indirect assistance through external expertise, or through a financial contribution enabling the partner to procure support independently.</w:t>
                      </w:r>
                    </w:p>
                    <w:p w14:paraId="6A2AC29C" w14:textId="77777777" w:rsidR="000F170C" w:rsidRPr="000F170C" w:rsidRDefault="000F170C" w:rsidP="000F170C">
                      <w:pPr>
                        <w:spacing w:after="0" w:line="240" w:lineRule="auto"/>
                        <w:rPr>
                          <w:rFonts w:ascii="Verdana" w:eastAsia="Verdana" w:hAnsi="Verdana" w:cs="Verdana"/>
                          <w:sz w:val="16"/>
                          <w:szCs w:val="16"/>
                          <w:lang w:val="en-US"/>
                        </w:rPr>
                      </w:pPr>
                    </w:p>
                    <w:p w14:paraId="0578D868" w14:textId="4504256E" w:rsidR="000F170C" w:rsidRPr="000F170C" w:rsidRDefault="000F170C" w:rsidP="000F170C">
                      <w:pPr>
                        <w:spacing w:after="0" w:line="240" w:lineRule="auto"/>
                        <w:rPr>
                          <w:rFonts w:ascii="Verdana" w:eastAsia="Verdana" w:hAnsi="Verdana" w:cs="Verdana"/>
                          <w:sz w:val="16"/>
                          <w:szCs w:val="16"/>
                          <w:lang w:val="en-US"/>
                        </w:rPr>
                      </w:pPr>
                      <w:r w:rsidRPr="000F170C">
                        <w:rPr>
                          <w:rFonts w:ascii="Verdana" w:eastAsia="Verdana" w:hAnsi="Verdana" w:cs="Verdana"/>
                          <w:sz w:val="16"/>
                          <w:szCs w:val="16"/>
                          <w:lang w:val="en-GB"/>
                        </w:rPr>
                        <w:t>The MEL system (Monitoring, Evaluation and Learning) and risk analysis are also refined and finalised during the inception phase. Where relevant, the RVO will facilitate coordination among grant recipients with a view to creating synergy and harmonising indicators.</w:t>
                      </w:r>
                    </w:p>
                    <w:p w14:paraId="0812B951" w14:textId="77777777" w:rsidR="000F170C" w:rsidRPr="000F170C" w:rsidRDefault="000F170C" w:rsidP="000F170C">
                      <w:pPr>
                        <w:spacing w:after="0" w:line="240" w:lineRule="auto"/>
                        <w:rPr>
                          <w:rFonts w:ascii="Verdana" w:eastAsia="Verdana" w:hAnsi="Verdana" w:cs="Verdana"/>
                          <w:sz w:val="16"/>
                          <w:szCs w:val="16"/>
                          <w:lang w:val="en-US"/>
                        </w:rPr>
                      </w:pPr>
                    </w:p>
                    <w:p w14:paraId="515C205B" w14:textId="285E0C30" w:rsidR="000F170C" w:rsidRPr="000F170C" w:rsidRDefault="000F170C" w:rsidP="000F170C">
                      <w:pPr>
                        <w:spacing w:after="0" w:line="240" w:lineRule="auto"/>
                        <w:rPr>
                          <w:rFonts w:ascii="Verdana" w:eastAsia="Verdana" w:hAnsi="Verdana" w:cs="Verdana"/>
                          <w:sz w:val="16"/>
                          <w:szCs w:val="16"/>
                          <w:lang w:val="en-US"/>
                        </w:rPr>
                      </w:pPr>
                      <w:r w:rsidRPr="000F170C">
                        <w:rPr>
                          <w:rFonts w:ascii="Verdana" w:eastAsia="Verdana" w:hAnsi="Verdana" w:cs="Verdana"/>
                          <w:sz w:val="16"/>
                          <w:szCs w:val="16"/>
                          <w:lang w:val="en-GB"/>
                        </w:rPr>
                        <w:t>Grant recipients operating in the same country must coordinate their programming during the inception phase to prevent duplicate financing, overlapping capacity-</w:t>
                      </w:r>
                      <w:r w:rsidR="002960CF">
                        <w:rPr>
                          <w:rFonts w:ascii="Verdana" w:eastAsia="Verdana" w:hAnsi="Verdana" w:cs="Verdana"/>
                          <w:sz w:val="16"/>
                          <w:szCs w:val="16"/>
                          <w:lang w:val="en-GB"/>
                        </w:rPr>
                        <w:t xml:space="preserve">strengthening </w:t>
                      </w:r>
                      <w:r w:rsidRPr="000F170C">
                        <w:rPr>
                          <w:rFonts w:ascii="Verdana" w:eastAsia="Verdana" w:hAnsi="Verdana" w:cs="Verdana"/>
                          <w:sz w:val="16"/>
                          <w:szCs w:val="16"/>
                          <w:lang w:val="en-GB"/>
                        </w:rPr>
                        <w:t>activities or thematic overlap.</w:t>
                      </w:r>
                    </w:p>
                    <w:p w14:paraId="56522B48" w14:textId="77777777" w:rsidR="000F170C" w:rsidRPr="000F170C" w:rsidRDefault="000F170C" w:rsidP="000F170C">
                      <w:pPr>
                        <w:spacing w:after="0" w:line="240" w:lineRule="auto"/>
                        <w:rPr>
                          <w:rFonts w:ascii="Verdana" w:eastAsia="Verdana" w:hAnsi="Verdana" w:cs="Verdana"/>
                          <w:sz w:val="16"/>
                          <w:szCs w:val="16"/>
                          <w:lang w:val="en-US"/>
                        </w:rPr>
                      </w:pPr>
                    </w:p>
                    <w:p w14:paraId="29535C66" w14:textId="3B065153" w:rsidR="000F170C" w:rsidRPr="000F170C" w:rsidRDefault="000F170C" w:rsidP="000F170C">
                      <w:pPr>
                        <w:spacing w:after="0" w:line="240" w:lineRule="auto"/>
                        <w:rPr>
                          <w:rFonts w:ascii="Verdana" w:eastAsia="Verdana" w:hAnsi="Verdana" w:cs="Verdana"/>
                          <w:sz w:val="16"/>
                          <w:szCs w:val="16"/>
                          <w:lang w:val="en-US"/>
                        </w:rPr>
                      </w:pPr>
                      <w:r w:rsidRPr="000F170C">
                        <w:rPr>
                          <w:rFonts w:ascii="Verdana" w:eastAsia="Verdana" w:hAnsi="Verdana" w:cs="Verdana"/>
                          <w:sz w:val="16"/>
                          <w:szCs w:val="16"/>
                          <w:lang w:val="en-GB"/>
                        </w:rPr>
                        <w:t xml:space="preserve">Where the implementation of the project involves vulnerable groups, an in-depth integrity policy is also drawn up during the inception phase. </w:t>
                      </w:r>
                      <w:r w:rsidR="002960CF">
                        <w:rPr>
                          <w:rFonts w:ascii="Verdana" w:eastAsia="Verdana" w:hAnsi="Verdana" w:cs="Verdana"/>
                          <w:sz w:val="16"/>
                          <w:szCs w:val="16"/>
                          <w:lang w:val="en-GB"/>
                        </w:rPr>
                        <w:t>Grant recipients</w:t>
                      </w:r>
                      <w:r w:rsidR="002960CF" w:rsidRPr="000F170C">
                        <w:rPr>
                          <w:rFonts w:ascii="Verdana" w:eastAsia="Verdana" w:hAnsi="Verdana" w:cs="Verdana"/>
                          <w:sz w:val="16"/>
                          <w:szCs w:val="16"/>
                          <w:lang w:val="en-GB"/>
                        </w:rPr>
                        <w:t xml:space="preserve"> </w:t>
                      </w:r>
                      <w:r w:rsidRPr="000F170C">
                        <w:rPr>
                          <w:rFonts w:ascii="Verdana" w:eastAsia="Verdana" w:hAnsi="Verdana" w:cs="Verdana"/>
                          <w:sz w:val="16"/>
                          <w:szCs w:val="16"/>
                          <w:lang w:val="en-GB"/>
                        </w:rPr>
                        <w:t xml:space="preserve">are required to submit an inception report for this phase with their first annual plan, using the RVO template. </w:t>
                      </w:r>
                    </w:p>
                    <w:p w14:paraId="7E0C7677" w14:textId="77777777" w:rsidR="000F170C" w:rsidRPr="000F170C" w:rsidRDefault="000F170C" w:rsidP="000F170C">
                      <w:pPr>
                        <w:spacing w:after="0" w:line="240" w:lineRule="auto"/>
                        <w:rPr>
                          <w:rFonts w:ascii="Verdana" w:eastAsia="Verdana" w:hAnsi="Verdana" w:cs="Verdana"/>
                          <w:sz w:val="16"/>
                          <w:szCs w:val="16"/>
                          <w:lang w:val="en-US"/>
                        </w:rPr>
                      </w:pPr>
                    </w:p>
                    <w:p w14:paraId="737CBEB3" w14:textId="4DCAD55E" w:rsidR="000F170C" w:rsidRPr="003C297D" w:rsidRDefault="000F170C" w:rsidP="000F170C">
                      <w:pPr>
                        <w:spacing w:after="0" w:line="240" w:lineRule="auto"/>
                        <w:rPr>
                          <w:rFonts w:ascii="Verdana" w:eastAsia="Verdana" w:hAnsi="Verdana" w:cs="Verdana"/>
                          <w:sz w:val="16"/>
                          <w:szCs w:val="16"/>
                          <w:lang w:val="en-US"/>
                        </w:rPr>
                      </w:pPr>
                      <w:r w:rsidRPr="003C297D">
                        <w:rPr>
                          <w:rFonts w:ascii="Verdana" w:eastAsia="Verdana" w:hAnsi="Verdana" w:cs="Verdana"/>
                          <w:sz w:val="16"/>
                          <w:szCs w:val="16"/>
                          <w:lang w:val="en-US"/>
                        </w:rPr>
                        <w:t>RVO assesses the inception phase report and the first annual plan. The costs for the implementation phase are only eligible  after the inception phase report and the first annual plan have been approved.</w:t>
                      </w:r>
                    </w:p>
                    <w:p w14:paraId="5229A78B" w14:textId="65911491" w:rsidR="000F170C" w:rsidRPr="000F170C" w:rsidRDefault="000F170C" w:rsidP="000F170C">
                      <w:pPr>
                        <w:spacing w:after="0" w:line="240" w:lineRule="auto"/>
                        <w:rPr>
                          <w:rFonts w:ascii="Verdana" w:eastAsia="Verdana" w:hAnsi="Verdana" w:cs="Verdana"/>
                          <w:sz w:val="16"/>
                          <w:szCs w:val="16"/>
                          <w:lang w:val="en-US"/>
                        </w:rPr>
                      </w:pPr>
                    </w:p>
                  </w:txbxContent>
                </v:textbox>
                <w10:wrap type="topAndBottom" anchorx="margin"/>
              </v:shape>
            </w:pict>
          </mc:Fallback>
        </mc:AlternateContent>
      </w:r>
      <w:r w:rsidR="6E2AA1E3" w:rsidRPr="00DE79CB">
        <w:rPr>
          <w:rFonts w:ascii="Verdana" w:eastAsia="Verdana" w:hAnsi="Verdana" w:cs="Verdana"/>
          <w:sz w:val="16"/>
          <w:szCs w:val="16"/>
          <w:u w:val="single"/>
          <w:lang w:val="en-GB"/>
        </w:rPr>
        <w:t xml:space="preserve">Inception phase </w:t>
      </w:r>
    </w:p>
    <w:p w14:paraId="10345058" w14:textId="77777777" w:rsidR="007923D1" w:rsidRPr="00DE79CB" w:rsidRDefault="007923D1" w:rsidP="00655670">
      <w:pPr>
        <w:spacing w:after="0" w:line="240" w:lineRule="auto"/>
        <w:rPr>
          <w:rFonts w:ascii="Verdana" w:eastAsia="Verdana" w:hAnsi="Verdana" w:cs="Verdana"/>
          <w:i/>
          <w:iCs/>
          <w:sz w:val="18"/>
          <w:szCs w:val="18"/>
          <w:lang w:val="en-US"/>
        </w:rPr>
      </w:pPr>
    </w:p>
    <w:p w14:paraId="2C78EE79" w14:textId="7E61AE3A" w:rsidR="00D52211" w:rsidRPr="00DE79CB" w:rsidRDefault="00D52211" w:rsidP="00655670">
      <w:pPr>
        <w:spacing w:after="0" w:line="240" w:lineRule="auto"/>
        <w:rPr>
          <w:rFonts w:ascii="Verdana" w:eastAsia="Verdana" w:hAnsi="Verdana" w:cs="Verdana"/>
          <w:i/>
          <w:sz w:val="18"/>
          <w:szCs w:val="18"/>
          <w:lang w:val="en-US"/>
        </w:rPr>
      </w:pPr>
      <w:r w:rsidRPr="00DE79CB">
        <w:rPr>
          <w:rFonts w:ascii="Verdana" w:eastAsia="Verdana" w:hAnsi="Verdana" w:cs="Verdana"/>
          <w:i/>
          <w:iCs/>
          <w:sz w:val="18"/>
          <w:szCs w:val="18"/>
          <w:lang w:val="en-GB"/>
        </w:rPr>
        <w:t>4.6 Grant size</w:t>
      </w:r>
    </w:p>
    <w:p w14:paraId="7429C36F" w14:textId="70F0D200" w:rsidR="000F2F41" w:rsidRPr="00DE79CB" w:rsidRDefault="00074955"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 xml:space="preserve">Grant applications must request no less than EUR 10 million and no more than EUR 22 million in grant funding. The maximum grant amount per application is EUR 22 million. </w:t>
      </w:r>
    </w:p>
    <w:p w14:paraId="0CEA0DB9" w14:textId="77777777" w:rsidR="004125DF" w:rsidRPr="00DE79CB" w:rsidRDefault="004125DF" w:rsidP="00655670">
      <w:pPr>
        <w:spacing w:after="0" w:line="240" w:lineRule="auto"/>
        <w:rPr>
          <w:rFonts w:ascii="Verdana" w:eastAsia="Verdana" w:hAnsi="Verdana" w:cs="Verdana"/>
          <w:sz w:val="18"/>
          <w:szCs w:val="18"/>
          <w:lang w:val="en-US"/>
        </w:rPr>
      </w:pPr>
    </w:p>
    <w:p w14:paraId="1D88C1BD" w14:textId="5CE34E70" w:rsidR="004125DF" w:rsidRPr="00DE79CB" w:rsidRDefault="009170C2"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The maximum grant amount is also linked to the applicant's own income, as detailed in appendix 4 to these policy rules. When calculating the amount of grant funding, applicants must also ensure they comply with these requirements.</w:t>
      </w:r>
    </w:p>
    <w:p w14:paraId="358A52E4" w14:textId="77777777" w:rsidR="00D52211" w:rsidRPr="00DE79CB" w:rsidRDefault="00D52211" w:rsidP="00655670">
      <w:pPr>
        <w:spacing w:after="0" w:line="240" w:lineRule="auto"/>
        <w:rPr>
          <w:rFonts w:ascii="Verdana" w:eastAsia="Verdana" w:hAnsi="Verdana" w:cs="Verdana"/>
          <w:sz w:val="18"/>
          <w:szCs w:val="18"/>
          <w:lang w:val="en-US"/>
        </w:rPr>
      </w:pPr>
    </w:p>
    <w:p w14:paraId="169AB6B1" w14:textId="3E836813" w:rsidR="00D52211" w:rsidRPr="00DE79CB" w:rsidRDefault="00D52211" w:rsidP="00655670">
      <w:pPr>
        <w:pStyle w:val="Lijstalinea"/>
        <w:numPr>
          <w:ilvl w:val="0"/>
          <w:numId w:val="3"/>
        </w:numPr>
        <w:spacing w:after="0" w:line="240" w:lineRule="auto"/>
        <w:rPr>
          <w:rFonts w:ascii="Verdana" w:hAnsi="Verdana"/>
          <w:b/>
          <w:bCs/>
          <w:sz w:val="18"/>
          <w:szCs w:val="18"/>
        </w:rPr>
      </w:pPr>
      <w:r w:rsidRPr="00DE79CB">
        <w:rPr>
          <w:rFonts w:ascii="Verdana" w:eastAsia="Verdana" w:hAnsi="Verdana" w:cs="Verdana"/>
          <w:b/>
          <w:bCs/>
          <w:sz w:val="18"/>
          <w:szCs w:val="18"/>
          <w:lang w:val="en-GB"/>
        </w:rPr>
        <w:t>Eligible costs</w:t>
      </w:r>
    </w:p>
    <w:p w14:paraId="04F4CDAF" w14:textId="6515399A" w:rsidR="007923D1" w:rsidRPr="00DE79CB" w:rsidRDefault="00B86807" w:rsidP="00655670">
      <w:pPr>
        <w:pStyle w:val="Lijstalinea"/>
        <w:spacing w:after="0" w:line="240" w:lineRule="auto"/>
        <w:ind w:left="360"/>
        <w:rPr>
          <w:rFonts w:ascii="Verdana" w:eastAsia="Verdana" w:hAnsi="Verdana" w:cs="Verdana"/>
          <w:b/>
          <w:bCs/>
          <w:sz w:val="18"/>
          <w:szCs w:val="18"/>
        </w:rPr>
      </w:pPr>
      <w:r w:rsidRPr="00DE79CB">
        <w:rPr>
          <w:rFonts w:ascii="Verdana" w:eastAsia="Verdana" w:hAnsi="Verdana" w:cs="Verdana"/>
          <w:b/>
          <w:bCs/>
          <w:sz w:val="18"/>
          <w:szCs w:val="18"/>
          <w:lang w:val="en-GB"/>
        </w:rPr>
        <w:t xml:space="preserve"> </w:t>
      </w:r>
    </w:p>
    <w:p w14:paraId="485F712D" w14:textId="77777777" w:rsidR="00D52211" w:rsidRPr="00DE79CB" w:rsidRDefault="00D52211" w:rsidP="00655670">
      <w:pPr>
        <w:spacing w:after="0" w:line="240" w:lineRule="auto"/>
        <w:rPr>
          <w:rFonts w:ascii="Verdana" w:eastAsia="Verdana" w:hAnsi="Verdana" w:cs="Verdana"/>
          <w:i/>
          <w:sz w:val="18"/>
          <w:szCs w:val="18"/>
        </w:rPr>
      </w:pPr>
      <w:r w:rsidRPr="00DE79CB">
        <w:rPr>
          <w:rFonts w:ascii="Verdana" w:eastAsia="Verdana" w:hAnsi="Verdana" w:cs="Verdana"/>
          <w:i/>
          <w:iCs/>
          <w:sz w:val="18"/>
          <w:szCs w:val="18"/>
          <w:lang w:val="en-GB"/>
        </w:rPr>
        <w:lastRenderedPageBreak/>
        <w:t>5.1 Principles</w:t>
      </w:r>
    </w:p>
    <w:p w14:paraId="1085B320" w14:textId="3AB29BC3" w:rsidR="00D52211" w:rsidRPr="00DE79CB" w:rsidRDefault="6E2AA1E3"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In determining the amount of the grant to be awarded, the following principles apply for the purpose of determining which costs may be taken into account:</w:t>
      </w:r>
    </w:p>
    <w:p w14:paraId="74359C0D" w14:textId="73D2D406" w:rsidR="00D52211" w:rsidRPr="00DE79CB" w:rsidRDefault="00D52211" w:rsidP="00655670">
      <w:pPr>
        <w:pStyle w:val="Lijstalinea"/>
        <w:numPr>
          <w:ilvl w:val="0"/>
          <w:numId w:val="6"/>
        </w:numPr>
        <w:spacing w:after="0" w:line="240" w:lineRule="auto"/>
        <w:rPr>
          <w:rFonts w:ascii="Verdana" w:hAnsi="Verdana"/>
          <w:sz w:val="18"/>
          <w:szCs w:val="18"/>
          <w:lang w:val="en-US"/>
        </w:rPr>
      </w:pPr>
      <w:r w:rsidRPr="00DE79CB">
        <w:rPr>
          <w:rFonts w:ascii="Verdana" w:eastAsia="Verdana" w:hAnsi="Verdana" w:cs="Verdana"/>
          <w:sz w:val="18"/>
          <w:szCs w:val="18"/>
          <w:lang w:val="en-GB"/>
        </w:rPr>
        <w:t>Eligible costs must be demonstrably reasonable, necessary and directly related to the activities</w:t>
      </w:r>
      <w:r w:rsidRPr="00DE79CB">
        <w:rPr>
          <w:rStyle w:val="Voetnootmarkering"/>
          <w:rFonts w:ascii="Verdana" w:eastAsia="Verdana" w:hAnsi="Verdana" w:cs="Verdana"/>
          <w:sz w:val="18"/>
          <w:szCs w:val="18"/>
          <w:lang w:val="en-GB"/>
        </w:rPr>
        <w:footnoteReference w:id="18"/>
      </w:r>
      <w:r w:rsidRPr="00DE79CB">
        <w:rPr>
          <w:rFonts w:ascii="Verdana" w:eastAsia="Verdana" w:hAnsi="Verdana" w:cs="Verdana"/>
          <w:sz w:val="18"/>
          <w:szCs w:val="18"/>
          <w:lang w:val="en-GB"/>
        </w:rPr>
        <w:t>.</w:t>
      </w:r>
    </w:p>
    <w:p w14:paraId="47B09F39" w14:textId="5E193B79" w:rsidR="00D52211" w:rsidRPr="00DE79CB" w:rsidRDefault="00D52211" w:rsidP="00655670">
      <w:pPr>
        <w:pStyle w:val="Lijstalinea"/>
        <w:numPr>
          <w:ilvl w:val="0"/>
          <w:numId w:val="6"/>
        </w:numPr>
        <w:spacing w:after="0" w:line="240" w:lineRule="auto"/>
        <w:rPr>
          <w:rFonts w:ascii="Verdana" w:hAnsi="Verdana"/>
          <w:sz w:val="18"/>
          <w:szCs w:val="18"/>
          <w:lang w:val="en-US"/>
        </w:rPr>
      </w:pPr>
      <w:r w:rsidRPr="00DE79CB">
        <w:rPr>
          <w:rFonts w:ascii="Verdana" w:eastAsia="Verdana" w:hAnsi="Verdana" w:cs="Verdana"/>
          <w:sz w:val="18"/>
          <w:szCs w:val="18"/>
          <w:lang w:val="en-GB"/>
        </w:rPr>
        <w:t xml:space="preserve">Costs must be appropriate </w:t>
      </w:r>
      <w:r w:rsidR="00BF0DA7" w:rsidRPr="00DE79CB">
        <w:rPr>
          <w:rFonts w:ascii="Verdana" w:eastAsia="Verdana" w:hAnsi="Verdana" w:cs="Verdana"/>
          <w:sz w:val="18"/>
          <w:szCs w:val="18"/>
          <w:lang w:val="en-GB"/>
        </w:rPr>
        <w:t>by their</w:t>
      </w:r>
      <w:r w:rsidRPr="00DE79CB">
        <w:rPr>
          <w:rFonts w:ascii="Verdana" w:eastAsia="Verdana" w:hAnsi="Verdana" w:cs="Verdana"/>
          <w:sz w:val="18"/>
          <w:szCs w:val="18"/>
          <w:lang w:val="en-GB"/>
        </w:rPr>
        <w:t xml:space="preserve"> nature.</w:t>
      </w:r>
    </w:p>
    <w:p w14:paraId="71C5D563" w14:textId="77777777" w:rsidR="00D52211" w:rsidRPr="00DE79CB" w:rsidRDefault="00D52211" w:rsidP="00655670">
      <w:pPr>
        <w:pStyle w:val="Lijstalinea"/>
        <w:numPr>
          <w:ilvl w:val="0"/>
          <w:numId w:val="6"/>
        </w:numPr>
        <w:spacing w:after="0" w:line="240" w:lineRule="auto"/>
        <w:rPr>
          <w:rFonts w:ascii="Verdana" w:hAnsi="Verdana"/>
          <w:sz w:val="18"/>
          <w:szCs w:val="18"/>
          <w:lang w:val="en-US"/>
        </w:rPr>
      </w:pPr>
      <w:r w:rsidRPr="00DE79CB">
        <w:rPr>
          <w:rFonts w:ascii="Verdana" w:eastAsia="Verdana" w:hAnsi="Verdana" w:cs="Verdana"/>
          <w:sz w:val="18"/>
          <w:szCs w:val="18"/>
          <w:lang w:val="en-GB"/>
        </w:rPr>
        <w:t>Costs must be incurred after the application is submitted.</w:t>
      </w:r>
    </w:p>
    <w:p w14:paraId="4D9828EE" w14:textId="77777777" w:rsidR="00D52211" w:rsidRPr="00DE79CB" w:rsidRDefault="00D52211" w:rsidP="00655670">
      <w:pPr>
        <w:pStyle w:val="Lijstalinea"/>
        <w:numPr>
          <w:ilvl w:val="0"/>
          <w:numId w:val="6"/>
        </w:numPr>
        <w:spacing w:after="0" w:line="240" w:lineRule="auto"/>
        <w:rPr>
          <w:rFonts w:ascii="Verdana" w:hAnsi="Verdana"/>
          <w:sz w:val="18"/>
          <w:szCs w:val="18"/>
          <w:lang w:val="en-US"/>
        </w:rPr>
      </w:pPr>
      <w:r w:rsidRPr="00DE79CB">
        <w:rPr>
          <w:rFonts w:ascii="Verdana" w:eastAsia="Verdana" w:hAnsi="Verdana" w:cs="Verdana"/>
          <w:sz w:val="18"/>
          <w:szCs w:val="18"/>
          <w:lang w:val="en-GB"/>
        </w:rPr>
        <w:t>Internal costs are eligible only if no profit margin is applied.</w:t>
      </w:r>
    </w:p>
    <w:p w14:paraId="616716F0" w14:textId="62759890" w:rsidR="00D52211" w:rsidRPr="00DE79CB" w:rsidRDefault="00D52211" w:rsidP="00655670">
      <w:pPr>
        <w:pStyle w:val="Lijstalinea"/>
        <w:numPr>
          <w:ilvl w:val="0"/>
          <w:numId w:val="6"/>
        </w:numPr>
        <w:spacing w:after="0" w:line="240" w:lineRule="auto"/>
        <w:rPr>
          <w:rFonts w:ascii="Verdana" w:hAnsi="Verdana"/>
          <w:sz w:val="18"/>
          <w:szCs w:val="18"/>
          <w:lang w:val="en-US"/>
        </w:rPr>
      </w:pPr>
      <w:r w:rsidRPr="00DE79CB">
        <w:rPr>
          <w:rFonts w:ascii="Verdana" w:eastAsia="Verdana" w:hAnsi="Verdana" w:cs="Verdana"/>
          <w:sz w:val="18"/>
          <w:szCs w:val="18"/>
          <w:lang w:val="en-GB"/>
        </w:rPr>
        <w:t>All costs are assessed against local standards and for overall reasonableness</w:t>
      </w:r>
      <w:r w:rsidRPr="00DE79CB">
        <w:rPr>
          <w:rStyle w:val="Voetnootmarkering"/>
          <w:rFonts w:ascii="Verdana" w:eastAsia="Verdana" w:hAnsi="Verdana" w:cs="Verdana"/>
          <w:sz w:val="18"/>
          <w:szCs w:val="18"/>
          <w:lang w:val="en-GB"/>
        </w:rPr>
        <w:footnoteReference w:id="19"/>
      </w:r>
      <w:r w:rsidRPr="00DE79CB">
        <w:rPr>
          <w:rFonts w:ascii="Verdana" w:eastAsia="Verdana" w:hAnsi="Verdana" w:cs="Verdana"/>
          <w:sz w:val="18"/>
          <w:szCs w:val="18"/>
          <w:lang w:val="en-GB"/>
        </w:rPr>
        <w:t>.</w:t>
      </w:r>
    </w:p>
    <w:p w14:paraId="3741B8A1" w14:textId="685540AD" w:rsidR="0093199B" w:rsidRPr="00DE79CB" w:rsidRDefault="0093199B" w:rsidP="00655670">
      <w:pPr>
        <w:pStyle w:val="Lijstalinea"/>
        <w:numPr>
          <w:ilvl w:val="0"/>
          <w:numId w:val="6"/>
        </w:numPr>
        <w:spacing w:after="0" w:line="240" w:lineRule="auto"/>
        <w:rPr>
          <w:rFonts w:ascii="Verdana" w:hAnsi="Verdana"/>
          <w:sz w:val="18"/>
          <w:szCs w:val="18"/>
          <w:lang w:val="en-US"/>
        </w:rPr>
      </w:pPr>
      <w:r w:rsidRPr="00DE79CB">
        <w:rPr>
          <w:rFonts w:ascii="Verdana" w:eastAsia="Verdana" w:hAnsi="Verdana" w:cs="Verdana"/>
          <w:sz w:val="18"/>
          <w:szCs w:val="18"/>
          <w:lang w:val="en-GB"/>
        </w:rPr>
        <w:t>The main share of eligible staff time and hours charged to the project must be spent in the target country.</w:t>
      </w:r>
    </w:p>
    <w:p w14:paraId="49CEA935" w14:textId="77777777" w:rsidR="007923D1" w:rsidRPr="00DE79CB" w:rsidRDefault="007923D1" w:rsidP="00655670">
      <w:pPr>
        <w:pStyle w:val="Lijstalinea"/>
        <w:spacing w:after="0" w:line="240" w:lineRule="auto"/>
        <w:ind w:left="360"/>
        <w:rPr>
          <w:rFonts w:ascii="Verdana" w:eastAsia="Verdana" w:hAnsi="Verdana" w:cs="Verdana"/>
          <w:sz w:val="18"/>
          <w:szCs w:val="18"/>
          <w:lang w:val="en-US"/>
        </w:rPr>
      </w:pPr>
    </w:p>
    <w:p w14:paraId="52981DE5" w14:textId="6C71CE05" w:rsidR="00D52211" w:rsidRPr="00DE79CB" w:rsidRDefault="00D52211" w:rsidP="00655670">
      <w:pPr>
        <w:spacing w:after="0" w:line="240" w:lineRule="auto"/>
        <w:rPr>
          <w:rFonts w:ascii="Verdana" w:eastAsia="Verdana" w:hAnsi="Verdana" w:cs="Verdana"/>
          <w:i/>
          <w:sz w:val="18"/>
          <w:szCs w:val="18"/>
          <w:lang w:val="en-US"/>
        </w:rPr>
      </w:pPr>
      <w:r w:rsidRPr="00DE79CB">
        <w:rPr>
          <w:rFonts w:ascii="Verdana" w:eastAsia="Verdana" w:hAnsi="Verdana" w:cs="Verdana"/>
          <w:i/>
          <w:iCs/>
          <w:sz w:val="18"/>
          <w:szCs w:val="18"/>
          <w:lang w:val="en-GB"/>
        </w:rPr>
        <w:t xml:space="preserve">5.2 </w:t>
      </w:r>
      <w:r w:rsidR="009E1C2B" w:rsidRPr="00DE79CB">
        <w:rPr>
          <w:rFonts w:ascii="Verdana" w:eastAsia="Verdana" w:hAnsi="Verdana" w:cs="Verdana"/>
          <w:i/>
          <w:iCs/>
          <w:sz w:val="18"/>
          <w:szCs w:val="18"/>
          <w:lang w:val="en-GB"/>
        </w:rPr>
        <w:t>(Non-)e</w:t>
      </w:r>
      <w:r w:rsidRPr="00DE79CB">
        <w:rPr>
          <w:rFonts w:ascii="Verdana" w:eastAsia="Verdana" w:hAnsi="Verdana" w:cs="Verdana"/>
          <w:i/>
          <w:iCs/>
          <w:sz w:val="18"/>
          <w:szCs w:val="18"/>
          <w:lang w:val="en-GB"/>
        </w:rPr>
        <w:t>ligible costs</w:t>
      </w:r>
    </w:p>
    <w:p w14:paraId="56A3582C" w14:textId="2C5CEE43" w:rsidR="00DA2D93" w:rsidRPr="00DE79CB" w:rsidRDefault="00061BE4" w:rsidP="00655670">
      <w:pPr>
        <w:spacing w:after="0" w:line="240" w:lineRule="auto"/>
        <w:rPr>
          <w:rFonts w:ascii="Verdana" w:eastAsia="Verdana" w:hAnsi="Verdana" w:cs="Verdana"/>
          <w:sz w:val="18"/>
          <w:szCs w:val="18"/>
          <w:lang w:val="en-GB"/>
        </w:rPr>
      </w:pPr>
      <w:r w:rsidRPr="00DE79CB">
        <w:rPr>
          <w:rFonts w:ascii="Verdana" w:eastAsia="Verdana" w:hAnsi="Verdana" w:cs="Verdana"/>
          <w:sz w:val="18"/>
          <w:szCs w:val="18"/>
          <w:lang w:val="en-GB"/>
        </w:rPr>
        <w:t xml:space="preserve">Eligible costs are listed and explained in the mandatory budget template to be submitted with the application, </w:t>
      </w:r>
      <w:bookmarkStart w:id="12" w:name="_Hlk218509346"/>
      <w:r w:rsidRPr="00DE79CB">
        <w:rPr>
          <w:rFonts w:ascii="Verdana" w:eastAsia="Verdana" w:hAnsi="Verdana" w:cs="Verdana"/>
          <w:sz w:val="18"/>
          <w:szCs w:val="18"/>
          <w:lang w:val="en-GB"/>
        </w:rPr>
        <w:t>which can be found on the RVO website.</w:t>
      </w:r>
      <w:r w:rsidRPr="00DE79CB">
        <w:rPr>
          <w:rStyle w:val="Voetnootmarkering"/>
          <w:rFonts w:ascii="Verdana" w:eastAsia="Verdana" w:hAnsi="Verdana" w:cs="Verdana"/>
          <w:sz w:val="18"/>
          <w:szCs w:val="18"/>
          <w:lang w:val="en-GB"/>
        </w:rPr>
        <w:t>19</w:t>
      </w:r>
    </w:p>
    <w:p w14:paraId="78519043" w14:textId="4401D716" w:rsidR="009E1C2B" w:rsidRPr="00DE79CB" w:rsidRDefault="009E1C2B"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 xml:space="preserve">Furthermore, to be eligible for </w:t>
      </w:r>
      <w:r w:rsidR="00BF0DA7" w:rsidRPr="00DE79CB">
        <w:rPr>
          <w:rFonts w:ascii="Verdana" w:eastAsia="Verdana" w:hAnsi="Verdana" w:cs="Verdana"/>
          <w:sz w:val="18"/>
          <w:szCs w:val="18"/>
          <w:lang w:val="en-US"/>
        </w:rPr>
        <w:t>a grant</w:t>
      </w:r>
      <w:r w:rsidRPr="00DE79CB">
        <w:rPr>
          <w:rFonts w:ascii="Verdana" w:eastAsia="Verdana" w:hAnsi="Verdana" w:cs="Verdana"/>
          <w:sz w:val="18"/>
          <w:szCs w:val="18"/>
          <w:lang w:val="en-US"/>
        </w:rPr>
        <w:t>, a number of specific requirements apply regarding the allocation of the eligible costs:</w:t>
      </w:r>
    </w:p>
    <w:p w14:paraId="7669AE45" w14:textId="15A5499A" w:rsidR="009E1C2B" w:rsidRPr="00DE79CB" w:rsidRDefault="009E1C2B" w:rsidP="009E1C2B">
      <w:pPr>
        <w:pStyle w:val="Lijstalinea"/>
        <w:numPr>
          <w:ilvl w:val="0"/>
          <w:numId w:val="6"/>
        </w:numPr>
        <w:spacing w:after="0" w:line="240" w:lineRule="auto"/>
        <w:rPr>
          <w:rFonts w:ascii="Verdana" w:hAnsi="Verdana"/>
          <w:sz w:val="18"/>
          <w:szCs w:val="18"/>
          <w:lang w:val="en-US"/>
        </w:rPr>
      </w:pPr>
      <w:r w:rsidRPr="00DE79CB">
        <w:rPr>
          <w:rFonts w:ascii="Verdana" w:eastAsia="Verdana" w:hAnsi="Verdana" w:cs="Verdana"/>
          <w:sz w:val="18"/>
          <w:szCs w:val="18"/>
          <w:lang w:val="en-GB"/>
        </w:rPr>
        <w:t xml:space="preserve">Expenditure on project management, consisting of activity coordination and the financial management of support </w:t>
      </w:r>
      <w:r w:rsidR="00BF0DA7" w:rsidRPr="00DE79CB">
        <w:rPr>
          <w:rFonts w:ascii="Verdana" w:eastAsia="Verdana" w:hAnsi="Verdana" w:cs="Verdana"/>
          <w:sz w:val="18"/>
          <w:szCs w:val="18"/>
          <w:lang w:val="en-GB"/>
        </w:rPr>
        <w:t xml:space="preserve">provided </w:t>
      </w:r>
      <w:r w:rsidRPr="00DE79CB">
        <w:rPr>
          <w:rFonts w:ascii="Verdana" w:eastAsia="Verdana" w:hAnsi="Verdana" w:cs="Verdana"/>
          <w:sz w:val="18"/>
          <w:szCs w:val="18"/>
          <w:lang w:val="en-GB"/>
        </w:rPr>
        <w:t>to partners, may not exceed 20% of eligible costs. This 20% ceiling is calculated on the basis of the total direct and indirect costs incurred by partners, as further specified in the budget model manual available on the RVO website</w:t>
      </w:r>
      <w:r w:rsidRPr="00DE79CB">
        <w:rPr>
          <w:rStyle w:val="Voetnootmarkering"/>
          <w:rFonts w:ascii="Verdana" w:eastAsia="Verdana" w:hAnsi="Verdana" w:cs="Verdana"/>
          <w:sz w:val="18"/>
          <w:szCs w:val="18"/>
          <w:lang w:val="en-GB"/>
        </w:rPr>
        <w:footnoteReference w:id="20"/>
      </w:r>
      <w:r w:rsidRPr="00DE79CB">
        <w:rPr>
          <w:rFonts w:ascii="Verdana" w:eastAsia="Verdana" w:hAnsi="Verdana" w:cs="Verdana"/>
          <w:sz w:val="18"/>
          <w:szCs w:val="18"/>
          <w:lang w:val="en-GB"/>
        </w:rPr>
        <w:t>.</w:t>
      </w:r>
    </w:p>
    <w:p w14:paraId="4F4F94C3" w14:textId="77777777" w:rsidR="009E1C2B" w:rsidRPr="00DE79CB" w:rsidRDefault="009E1C2B" w:rsidP="009E1C2B">
      <w:pPr>
        <w:pStyle w:val="Lijstalinea"/>
        <w:numPr>
          <w:ilvl w:val="0"/>
          <w:numId w:val="6"/>
        </w:numPr>
        <w:spacing w:after="0" w:line="240" w:lineRule="auto"/>
        <w:rPr>
          <w:rFonts w:ascii="Verdana" w:hAnsi="Verdana"/>
          <w:sz w:val="18"/>
          <w:szCs w:val="18"/>
          <w:lang w:val="en-US"/>
        </w:rPr>
      </w:pPr>
      <w:r w:rsidRPr="00DE79CB">
        <w:rPr>
          <w:rFonts w:ascii="Verdana" w:hAnsi="Verdana"/>
          <w:sz w:val="18"/>
          <w:szCs w:val="18"/>
          <w:lang w:val="en-GB"/>
        </w:rPr>
        <w:t>For financing activities relating to service provision and dialogue, at least 30% of the associated costs must be allocated to service provision.</w:t>
      </w:r>
    </w:p>
    <w:p w14:paraId="01650B13" w14:textId="46D06064" w:rsidR="009E1C2B" w:rsidRPr="00DE79CB" w:rsidRDefault="009E1C2B" w:rsidP="009E1C2B">
      <w:pPr>
        <w:pStyle w:val="Lijstalinea"/>
        <w:numPr>
          <w:ilvl w:val="0"/>
          <w:numId w:val="6"/>
        </w:numPr>
        <w:spacing w:after="0" w:line="240" w:lineRule="auto"/>
        <w:rPr>
          <w:rFonts w:ascii="Verdana" w:hAnsi="Verdana"/>
          <w:sz w:val="18"/>
          <w:szCs w:val="18"/>
          <w:lang w:val="en-US"/>
        </w:rPr>
      </w:pPr>
      <w:r w:rsidRPr="00DE79CB">
        <w:rPr>
          <w:rFonts w:ascii="Verdana" w:eastAsia="Verdana" w:hAnsi="Verdana" w:cs="Verdana"/>
          <w:sz w:val="18"/>
          <w:szCs w:val="18"/>
          <w:lang w:val="en-GB"/>
        </w:rPr>
        <w:t>Costs incurred after the end date of the project are not eligible, with the exception of costs relating to the mandatory external audit submitted with the application for grant determination.</w:t>
      </w:r>
    </w:p>
    <w:bookmarkEnd w:id="12"/>
    <w:p w14:paraId="67116A4E" w14:textId="77777777" w:rsidR="00061BE4" w:rsidRPr="00DE79CB" w:rsidRDefault="00061BE4" w:rsidP="00655670">
      <w:pPr>
        <w:spacing w:after="0" w:line="240" w:lineRule="auto"/>
        <w:rPr>
          <w:rFonts w:ascii="Verdana" w:eastAsia="Verdana" w:hAnsi="Verdana" w:cs="Verdana"/>
          <w:sz w:val="18"/>
          <w:szCs w:val="18"/>
          <w:lang w:val="en-US"/>
        </w:rPr>
      </w:pPr>
    </w:p>
    <w:p w14:paraId="2391F425" w14:textId="724C2795" w:rsidR="007923D1" w:rsidRPr="00DE79CB" w:rsidRDefault="00061BE4"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The budget template also lists non-eligible costs</w:t>
      </w:r>
      <w:r w:rsidRPr="00DE79CB">
        <w:rPr>
          <w:rStyle w:val="Voetnootmarkering"/>
          <w:rFonts w:ascii="Verdana" w:eastAsia="Verdana" w:hAnsi="Verdana" w:cs="Verdana"/>
          <w:sz w:val="18"/>
          <w:szCs w:val="18"/>
          <w:lang w:val="en-GB"/>
        </w:rPr>
        <w:t>19</w:t>
      </w:r>
      <w:r w:rsidRPr="00DE79CB">
        <w:rPr>
          <w:rFonts w:ascii="Verdana" w:eastAsia="Verdana" w:hAnsi="Verdana" w:cs="Verdana"/>
          <w:sz w:val="18"/>
          <w:szCs w:val="18"/>
          <w:lang w:val="en-GB"/>
        </w:rPr>
        <w:t>, including costs incurred in developing the application and applying for the grant, other costs incurred prior to submission of the application, and VAT insofar as this does not constitute an eligible cost item.</w:t>
      </w:r>
    </w:p>
    <w:p w14:paraId="53F6A740" w14:textId="77777777" w:rsidR="001457F4" w:rsidRPr="00DE79CB" w:rsidRDefault="001457F4" w:rsidP="00655670">
      <w:pPr>
        <w:spacing w:after="0" w:line="240" w:lineRule="auto"/>
        <w:rPr>
          <w:rFonts w:ascii="Verdana" w:eastAsia="Verdana" w:hAnsi="Verdana" w:cs="Verdana"/>
          <w:b/>
          <w:bCs/>
          <w:sz w:val="18"/>
          <w:szCs w:val="18"/>
          <w:lang w:val="en-US"/>
        </w:rPr>
      </w:pPr>
    </w:p>
    <w:p w14:paraId="6E4AE7FA" w14:textId="4D9D389E" w:rsidR="00D52211" w:rsidRPr="00DE79CB" w:rsidRDefault="00D52211" w:rsidP="00655670">
      <w:pPr>
        <w:spacing w:after="0" w:line="240" w:lineRule="auto"/>
        <w:rPr>
          <w:rFonts w:ascii="Verdana" w:eastAsia="Verdana" w:hAnsi="Verdana" w:cs="Verdana"/>
          <w:b/>
          <w:bCs/>
          <w:sz w:val="18"/>
          <w:szCs w:val="18"/>
          <w:lang w:val="en-US"/>
        </w:rPr>
      </w:pPr>
      <w:r w:rsidRPr="00DE79CB">
        <w:rPr>
          <w:rFonts w:ascii="Verdana" w:eastAsia="Verdana" w:hAnsi="Verdana" w:cs="Verdana"/>
          <w:b/>
          <w:bCs/>
          <w:sz w:val="18"/>
          <w:szCs w:val="18"/>
          <w:lang w:val="en-GB"/>
        </w:rPr>
        <w:t>6. Application</w:t>
      </w:r>
    </w:p>
    <w:p w14:paraId="636D4443" w14:textId="127824BF" w:rsidR="007923D1" w:rsidRPr="00DE79CB" w:rsidRDefault="007902F1"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 xml:space="preserve">Applications can be submitted during the application period: </w:t>
      </w:r>
      <w:r w:rsidR="009E1C2B" w:rsidRPr="00DE79CB">
        <w:rPr>
          <w:rFonts w:ascii="Verdana" w:eastAsia="Verdana" w:hAnsi="Verdana" w:cs="Verdana"/>
          <w:sz w:val="18"/>
          <w:szCs w:val="18"/>
          <w:lang w:val="en-US"/>
        </w:rPr>
        <w:t>June 30</w:t>
      </w:r>
      <w:r w:rsidRPr="00DE79CB">
        <w:rPr>
          <w:rFonts w:ascii="Verdana" w:eastAsia="Verdana" w:hAnsi="Verdana" w:cs="Verdana"/>
          <w:sz w:val="18"/>
          <w:szCs w:val="18"/>
          <w:lang w:val="en-US"/>
        </w:rPr>
        <w:t xml:space="preserve">, 2026 – </w:t>
      </w:r>
      <w:r w:rsidR="009E1C2B" w:rsidRPr="00DE79CB">
        <w:rPr>
          <w:rFonts w:ascii="Verdana" w:eastAsia="Verdana" w:hAnsi="Verdana" w:cs="Verdana"/>
          <w:sz w:val="18"/>
          <w:szCs w:val="18"/>
          <w:lang w:val="en-US"/>
        </w:rPr>
        <w:t>August 11</w:t>
      </w:r>
      <w:r w:rsidRPr="00DE79CB">
        <w:rPr>
          <w:rFonts w:ascii="Verdana" w:eastAsia="Verdana" w:hAnsi="Verdana" w:cs="Verdana"/>
          <w:sz w:val="18"/>
          <w:szCs w:val="18"/>
          <w:lang w:val="en-US"/>
        </w:rPr>
        <w:t xml:space="preserve">, 2026, closing at 12:00 CET. A decision on whether to award a grant will be made by </w:t>
      </w:r>
      <w:r w:rsidR="009E1C2B" w:rsidRPr="00DE79CB">
        <w:rPr>
          <w:rFonts w:ascii="Verdana" w:eastAsia="Verdana" w:hAnsi="Verdana" w:cs="Verdana"/>
          <w:sz w:val="18"/>
          <w:szCs w:val="18"/>
          <w:lang w:val="en-US"/>
        </w:rPr>
        <w:t>December 1</w:t>
      </w:r>
      <w:r w:rsidRPr="00DE79CB">
        <w:rPr>
          <w:rFonts w:ascii="Verdana" w:eastAsia="Verdana" w:hAnsi="Verdana" w:cs="Verdana"/>
          <w:sz w:val="18"/>
          <w:szCs w:val="18"/>
          <w:lang w:val="en-US"/>
        </w:rPr>
        <w:t>, 2026.</w:t>
      </w:r>
    </w:p>
    <w:p w14:paraId="4CCB55BE" w14:textId="77777777" w:rsidR="007902F1" w:rsidRPr="00DE79CB" w:rsidRDefault="007902F1" w:rsidP="00655670">
      <w:pPr>
        <w:spacing w:after="0" w:line="240" w:lineRule="auto"/>
        <w:rPr>
          <w:rFonts w:ascii="Verdana" w:eastAsia="Verdana" w:hAnsi="Verdana" w:cs="Verdana"/>
          <w:i/>
          <w:iCs/>
          <w:sz w:val="18"/>
          <w:szCs w:val="18"/>
          <w:lang w:val="en-US"/>
        </w:rPr>
      </w:pPr>
    </w:p>
    <w:p w14:paraId="6E19871B" w14:textId="386FC2B7" w:rsidR="005328FC" w:rsidRPr="00DE79CB" w:rsidRDefault="00D52211" w:rsidP="00655670">
      <w:pPr>
        <w:spacing w:after="0" w:line="240" w:lineRule="auto"/>
        <w:rPr>
          <w:rFonts w:ascii="Verdana" w:eastAsia="Verdana" w:hAnsi="Verdana" w:cs="Verdana"/>
          <w:i/>
          <w:sz w:val="18"/>
          <w:szCs w:val="18"/>
          <w:lang w:val="en-US"/>
        </w:rPr>
      </w:pPr>
      <w:r w:rsidRPr="00DE79CB">
        <w:rPr>
          <w:rFonts w:ascii="Verdana" w:eastAsia="Verdana" w:hAnsi="Verdana" w:cs="Verdana"/>
          <w:i/>
          <w:iCs/>
          <w:sz w:val="18"/>
          <w:szCs w:val="18"/>
          <w:lang w:val="en-GB"/>
        </w:rPr>
        <w:t xml:space="preserve">6.1 </w:t>
      </w:r>
      <w:r w:rsidR="00457D06" w:rsidRPr="00DE79CB">
        <w:rPr>
          <w:rFonts w:ascii="Verdana" w:eastAsia="Verdana" w:hAnsi="Verdana" w:cs="Verdana"/>
          <w:i/>
          <w:iCs/>
          <w:sz w:val="18"/>
          <w:szCs w:val="18"/>
          <w:lang w:val="en-GB"/>
        </w:rPr>
        <w:t xml:space="preserve">Application </w:t>
      </w:r>
      <w:r w:rsidRPr="00DE79CB">
        <w:rPr>
          <w:rFonts w:ascii="Verdana" w:eastAsia="Verdana" w:hAnsi="Verdana" w:cs="Verdana"/>
          <w:i/>
          <w:iCs/>
          <w:sz w:val="18"/>
          <w:szCs w:val="18"/>
          <w:lang w:val="en-GB"/>
        </w:rPr>
        <w:t>Requirements</w:t>
      </w:r>
    </w:p>
    <w:p w14:paraId="29A17846" w14:textId="66C74BAC" w:rsidR="00D52211" w:rsidRPr="00DE79CB" w:rsidRDefault="00D52211"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The application must be submitted using the resources made available by RVO and must be accompanied by the annexes specified therein, for which RVO provides templates. All documents must be submitted in English</w:t>
      </w:r>
      <w:r w:rsidR="009E1C2B" w:rsidRPr="00DE79CB">
        <w:rPr>
          <w:rStyle w:val="Voetnootmarkering"/>
          <w:rFonts w:ascii="Verdana" w:eastAsia="Verdana" w:hAnsi="Verdana" w:cs="Verdana"/>
          <w:sz w:val="18"/>
          <w:szCs w:val="18"/>
          <w:lang w:val="en-GB"/>
        </w:rPr>
        <w:footnoteReference w:id="21"/>
      </w:r>
      <w:r w:rsidRPr="00DE79CB">
        <w:rPr>
          <w:rFonts w:ascii="Verdana" w:eastAsia="Verdana" w:hAnsi="Verdana" w:cs="Verdana"/>
          <w:sz w:val="18"/>
          <w:szCs w:val="18"/>
          <w:lang w:val="en-GB"/>
        </w:rPr>
        <w:t xml:space="preserve">. </w:t>
      </w:r>
    </w:p>
    <w:p w14:paraId="52A7D273" w14:textId="77777777" w:rsidR="007923D1" w:rsidRPr="00DE79CB" w:rsidRDefault="007923D1" w:rsidP="00655670">
      <w:pPr>
        <w:spacing w:after="0" w:line="240" w:lineRule="auto"/>
        <w:rPr>
          <w:rFonts w:ascii="Verdana" w:eastAsia="Verdana" w:hAnsi="Verdana" w:cs="Verdana"/>
          <w:sz w:val="18"/>
          <w:szCs w:val="18"/>
          <w:lang w:val="en-US"/>
        </w:rPr>
      </w:pPr>
    </w:p>
    <w:p w14:paraId="328FDA37" w14:textId="77777777" w:rsidR="00D52211" w:rsidRPr="00DE79CB" w:rsidRDefault="00D52211"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All applications must include at least:</w:t>
      </w:r>
    </w:p>
    <w:p w14:paraId="0DAF0258" w14:textId="56F6D3C1" w:rsidR="00D52211" w:rsidRPr="00DE79CB" w:rsidRDefault="00D52211" w:rsidP="00655670">
      <w:pPr>
        <w:pStyle w:val="Lijstalinea"/>
        <w:numPr>
          <w:ilvl w:val="0"/>
          <w:numId w:val="8"/>
        </w:numPr>
        <w:spacing w:after="0" w:line="240" w:lineRule="auto"/>
        <w:rPr>
          <w:rFonts w:ascii="Verdana" w:hAnsi="Verdana"/>
          <w:sz w:val="18"/>
          <w:szCs w:val="18"/>
          <w:lang w:val="en-US"/>
        </w:rPr>
      </w:pPr>
      <w:r w:rsidRPr="00DE79CB">
        <w:rPr>
          <w:rFonts w:ascii="Verdana" w:eastAsia="Verdana" w:hAnsi="Verdana" w:cs="Verdana"/>
          <w:sz w:val="18"/>
          <w:szCs w:val="18"/>
          <w:lang w:val="en-GB"/>
        </w:rPr>
        <w:t>A project plan, containing the following elements:</w:t>
      </w:r>
    </w:p>
    <w:p w14:paraId="0DF9B32D" w14:textId="6F3C5344" w:rsidR="00D52211" w:rsidRPr="00DE79CB" w:rsidRDefault="00D52211" w:rsidP="00655670">
      <w:pPr>
        <w:pStyle w:val="Lijstalinea"/>
        <w:numPr>
          <w:ilvl w:val="0"/>
          <w:numId w:val="9"/>
        </w:numPr>
        <w:spacing w:after="0" w:line="240" w:lineRule="auto"/>
        <w:rPr>
          <w:rFonts w:ascii="Verdana" w:hAnsi="Verdana"/>
          <w:sz w:val="18"/>
          <w:szCs w:val="18"/>
          <w:lang w:val="en-US"/>
        </w:rPr>
      </w:pPr>
      <w:r w:rsidRPr="00DE79CB">
        <w:rPr>
          <w:rFonts w:ascii="Verdana" w:hAnsi="Verdana"/>
          <w:sz w:val="18"/>
          <w:szCs w:val="18"/>
          <w:lang w:val="en-GB"/>
        </w:rPr>
        <w:t>a detailed description of the proposed activities, specifying for each target country which primary value chain will be the main focus and what share of the total grant amount requested is allocated to that value chain;</w:t>
      </w:r>
    </w:p>
    <w:p w14:paraId="3F5B8A95" w14:textId="2F13964B" w:rsidR="00D52211" w:rsidRPr="00DE79CB" w:rsidRDefault="00D52211" w:rsidP="00655670">
      <w:pPr>
        <w:pStyle w:val="Lijstalinea"/>
        <w:numPr>
          <w:ilvl w:val="0"/>
          <w:numId w:val="9"/>
        </w:numPr>
        <w:spacing w:after="0" w:line="240" w:lineRule="auto"/>
        <w:rPr>
          <w:rFonts w:ascii="Verdana" w:hAnsi="Verdana"/>
          <w:sz w:val="18"/>
          <w:szCs w:val="18"/>
          <w:lang w:val="en-US"/>
        </w:rPr>
      </w:pPr>
      <w:r w:rsidRPr="00DE79CB">
        <w:rPr>
          <w:rFonts w:ascii="Verdana" w:eastAsia="Verdana" w:hAnsi="Verdana" w:cs="Verdana"/>
          <w:sz w:val="18"/>
          <w:szCs w:val="18"/>
          <w:lang w:val="en-GB"/>
        </w:rPr>
        <w:t xml:space="preserve">a description of the baseline situation prior to the start of the activities; </w:t>
      </w:r>
    </w:p>
    <w:p w14:paraId="35E049AD" w14:textId="253DC327" w:rsidR="00D52211" w:rsidRPr="00DE79CB" w:rsidRDefault="00D52211" w:rsidP="00655670">
      <w:pPr>
        <w:pStyle w:val="Lijstalinea"/>
        <w:numPr>
          <w:ilvl w:val="0"/>
          <w:numId w:val="9"/>
        </w:numPr>
        <w:spacing w:after="0" w:line="240" w:lineRule="auto"/>
        <w:rPr>
          <w:rFonts w:ascii="Verdana" w:hAnsi="Verdana"/>
          <w:sz w:val="18"/>
          <w:szCs w:val="18"/>
          <w:lang w:val="en-US"/>
        </w:rPr>
      </w:pPr>
      <w:r w:rsidRPr="00DE79CB">
        <w:rPr>
          <w:rFonts w:ascii="Verdana" w:eastAsia="Verdana" w:hAnsi="Verdana" w:cs="Verdana"/>
          <w:sz w:val="18"/>
          <w:szCs w:val="18"/>
          <w:lang w:val="en-GB"/>
        </w:rPr>
        <w:t>the intended results, including the contribution to the objective referred to in section 4.1;</w:t>
      </w:r>
    </w:p>
    <w:p w14:paraId="787739A0" w14:textId="77777777" w:rsidR="00D52211" w:rsidRPr="00DE79CB" w:rsidRDefault="00D52211" w:rsidP="00655670">
      <w:pPr>
        <w:pStyle w:val="Lijstalinea"/>
        <w:numPr>
          <w:ilvl w:val="0"/>
          <w:numId w:val="9"/>
        </w:numPr>
        <w:spacing w:after="0" w:line="240" w:lineRule="auto"/>
        <w:rPr>
          <w:rFonts w:ascii="Verdana" w:hAnsi="Verdana"/>
          <w:sz w:val="18"/>
          <w:szCs w:val="18"/>
          <w:lang w:val="en-US"/>
        </w:rPr>
      </w:pPr>
      <w:r w:rsidRPr="00DE79CB">
        <w:rPr>
          <w:rFonts w:ascii="Verdana" w:eastAsia="Verdana" w:hAnsi="Verdana" w:cs="Verdana"/>
          <w:sz w:val="18"/>
          <w:szCs w:val="18"/>
          <w:lang w:val="en-GB"/>
        </w:rPr>
        <w:t>the scope of the project;</w:t>
      </w:r>
    </w:p>
    <w:p w14:paraId="6ADE950A" w14:textId="19A43D41" w:rsidR="00D52211" w:rsidRPr="00DE79CB" w:rsidRDefault="0093199B" w:rsidP="00655670">
      <w:pPr>
        <w:pStyle w:val="Lijstalinea"/>
        <w:numPr>
          <w:ilvl w:val="0"/>
          <w:numId w:val="9"/>
        </w:numPr>
        <w:spacing w:after="0" w:line="240" w:lineRule="auto"/>
        <w:rPr>
          <w:rFonts w:ascii="Verdana" w:hAnsi="Verdana"/>
          <w:sz w:val="18"/>
          <w:szCs w:val="18"/>
          <w:lang w:val="en-US"/>
        </w:rPr>
      </w:pPr>
      <w:r w:rsidRPr="00DE79CB">
        <w:rPr>
          <w:rFonts w:ascii="Verdana" w:eastAsia="Verdana" w:hAnsi="Verdana" w:cs="Verdana"/>
          <w:sz w:val="18"/>
          <w:szCs w:val="18"/>
          <w:lang w:val="en-GB"/>
        </w:rPr>
        <w:t>a clarification of the selected value chain or value chains and the relationship between them, including the applicant's vision on the sector and its contribution to systemic change;</w:t>
      </w:r>
    </w:p>
    <w:p w14:paraId="64D42A7E" w14:textId="57AF26D8" w:rsidR="00396DBA" w:rsidRPr="00DE79CB" w:rsidRDefault="00396DBA" w:rsidP="00655670">
      <w:pPr>
        <w:pStyle w:val="Lijstalinea"/>
        <w:numPr>
          <w:ilvl w:val="0"/>
          <w:numId w:val="9"/>
        </w:numPr>
        <w:spacing w:after="0" w:line="240" w:lineRule="auto"/>
        <w:rPr>
          <w:rFonts w:ascii="Verdana" w:hAnsi="Verdana"/>
          <w:sz w:val="18"/>
          <w:szCs w:val="18"/>
          <w:lang w:val="en-US"/>
        </w:rPr>
      </w:pPr>
      <w:r w:rsidRPr="00DE79CB">
        <w:rPr>
          <w:rFonts w:ascii="Verdana" w:eastAsia="Verdana" w:hAnsi="Verdana" w:cs="Verdana"/>
          <w:sz w:val="18"/>
          <w:szCs w:val="18"/>
          <w:lang w:val="en-GB"/>
        </w:rPr>
        <w:t>a MEL system including intervention logic, a results framework, assumptions and risks, as described in appendix 3 to these policy rules;</w:t>
      </w:r>
    </w:p>
    <w:p w14:paraId="7C099AC4" w14:textId="77777777" w:rsidR="00D52211" w:rsidRPr="00DE79CB" w:rsidRDefault="00D52211" w:rsidP="00655670">
      <w:pPr>
        <w:pStyle w:val="Lijstalinea"/>
        <w:numPr>
          <w:ilvl w:val="0"/>
          <w:numId w:val="9"/>
        </w:numPr>
        <w:spacing w:after="0" w:line="240" w:lineRule="auto"/>
        <w:rPr>
          <w:rFonts w:ascii="Verdana" w:hAnsi="Verdana"/>
          <w:sz w:val="18"/>
          <w:szCs w:val="18"/>
          <w:lang w:val="en-US"/>
        </w:rPr>
      </w:pPr>
      <w:r w:rsidRPr="00DE79CB">
        <w:rPr>
          <w:rFonts w:ascii="Verdana" w:eastAsia="Verdana" w:hAnsi="Verdana" w:cs="Verdana"/>
          <w:sz w:val="18"/>
          <w:szCs w:val="18"/>
          <w:lang w:val="en-GB"/>
        </w:rPr>
        <w:t>a description of cooperation with the main stakeholders and of cooperation between those stakeholders;</w:t>
      </w:r>
    </w:p>
    <w:p w14:paraId="4642EBE5" w14:textId="42E5234A" w:rsidR="00D52211" w:rsidRPr="00DE79CB" w:rsidRDefault="00D52211" w:rsidP="00655670">
      <w:pPr>
        <w:pStyle w:val="Lijstalinea"/>
        <w:numPr>
          <w:ilvl w:val="0"/>
          <w:numId w:val="9"/>
        </w:numPr>
        <w:spacing w:after="0" w:line="240" w:lineRule="auto"/>
        <w:rPr>
          <w:rFonts w:ascii="Verdana" w:hAnsi="Verdana"/>
          <w:sz w:val="18"/>
          <w:szCs w:val="18"/>
          <w:lang w:val="en-US"/>
        </w:rPr>
      </w:pPr>
      <w:r w:rsidRPr="00DE79CB">
        <w:rPr>
          <w:rFonts w:ascii="Verdana" w:eastAsia="Verdana" w:hAnsi="Verdana" w:cs="Verdana"/>
          <w:sz w:val="18"/>
          <w:szCs w:val="18"/>
          <w:lang w:val="en-GB"/>
        </w:rPr>
        <w:t>a risk analysis identifying the main risks associated with the project and the corresponding mitigating measures, including in any case:</w:t>
      </w:r>
    </w:p>
    <w:p w14:paraId="10608D1B" w14:textId="77777777" w:rsidR="00D52211" w:rsidRPr="00DE79CB" w:rsidRDefault="00D52211" w:rsidP="00655670">
      <w:pPr>
        <w:pStyle w:val="Lijstalinea"/>
        <w:numPr>
          <w:ilvl w:val="0"/>
          <w:numId w:val="11"/>
        </w:numPr>
        <w:spacing w:after="0" w:line="240" w:lineRule="auto"/>
        <w:rPr>
          <w:rFonts w:ascii="Verdana" w:hAnsi="Verdana"/>
          <w:sz w:val="18"/>
          <w:szCs w:val="18"/>
        </w:rPr>
      </w:pPr>
      <w:r w:rsidRPr="00DE79CB">
        <w:rPr>
          <w:rFonts w:ascii="Verdana" w:eastAsia="Verdana" w:hAnsi="Verdana" w:cs="Verdana"/>
          <w:sz w:val="18"/>
          <w:szCs w:val="18"/>
          <w:lang w:val="en-GB"/>
        </w:rPr>
        <w:lastRenderedPageBreak/>
        <w:t>financial implementation risks;</w:t>
      </w:r>
    </w:p>
    <w:p w14:paraId="63120146" w14:textId="77777777" w:rsidR="00D52211" w:rsidRPr="00DE79CB" w:rsidRDefault="00D52211" w:rsidP="00655670">
      <w:pPr>
        <w:pStyle w:val="Lijstalinea"/>
        <w:numPr>
          <w:ilvl w:val="0"/>
          <w:numId w:val="11"/>
        </w:numPr>
        <w:spacing w:after="0" w:line="240" w:lineRule="auto"/>
        <w:rPr>
          <w:rFonts w:ascii="Verdana" w:hAnsi="Verdana"/>
          <w:sz w:val="18"/>
          <w:szCs w:val="18"/>
          <w:lang w:val="en-US"/>
        </w:rPr>
      </w:pPr>
      <w:r w:rsidRPr="00DE79CB">
        <w:rPr>
          <w:rFonts w:ascii="Verdana" w:eastAsia="Verdana" w:hAnsi="Verdana" w:cs="Verdana"/>
          <w:sz w:val="18"/>
          <w:szCs w:val="18"/>
          <w:lang w:val="en-GB"/>
        </w:rPr>
        <w:t>risks concerning safe business practices;</w:t>
      </w:r>
    </w:p>
    <w:p w14:paraId="2AFD8C9A" w14:textId="04DFC3F8" w:rsidR="009600CE" w:rsidRPr="00DE79CB" w:rsidRDefault="00D52211" w:rsidP="00655670">
      <w:pPr>
        <w:pStyle w:val="Lijstalinea"/>
        <w:numPr>
          <w:ilvl w:val="0"/>
          <w:numId w:val="11"/>
        </w:numPr>
        <w:spacing w:after="0" w:line="240" w:lineRule="auto"/>
        <w:rPr>
          <w:rFonts w:ascii="Verdana" w:hAnsi="Verdana"/>
          <w:sz w:val="18"/>
          <w:szCs w:val="18"/>
          <w:lang w:val="en-US"/>
        </w:rPr>
      </w:pPr>
      <w:r w:rsidRPr="00DE79CB">
        <w:rPr>
          <w:rFonts w:ascii="Verdana" w:eastAsia="Verdana" w:hAnsi="Verdana" w:cs="Verdana"/>
          <w:sz w:val="18"/>
          <w:szCs w:val="18"/>
          <w:lang w:val="en-GB"/>
        </w:rPr>
        <w:t>other risks relevant to the project.</w:t>
      </w:r>
    </w:p>
    <w:p w14:paraId="2FC3F829" w14:textId="19FAC7F0" w:rsidR="002F10F0" w:rsidRPr="00DE79CB" w:rsidRDefault="00A003F9" w:rsidP="00655670">
      <w:pPr>
        <w:pStyle w:val="Plattetekst"/>
        <w:numPr>
          <w:ilvl w:val="0"/>
          <w:numId w:val="16"/>
        </w:numPr>
        <w:ind w:right="239"/>
        <w:rPr>
          <w:sz w:val="18"/>
          <w:szCs w:val="18"/>
          <w:lang w:val="en-US"/>
        </w:rPr>
      </w:pPr>
      <w:r w:rsidRPr="00DE79CB">
        <w:rPr>
          <w:sz w:val="18"/>
          <w:szCs w:val="18"/>
          <w:lang w:val="en-GB"/>
        </w:rPr>
        <w:t>an overview of demonstrable expertise relevant to the type of activities to be implemented, in the target countries selected by the applicant and in the primary value chain. This must be substantiated by reference to three comparable projects.</w:t>
      </w:r>
    </w:p>
    <w:p w14:paraId="718820E4" w14:textId="1264562E" w:rsidR="002F10F0" w:rsidRPr="00DE79CB" w:rsidRDefault="002F10F0" w:rsidP="00655670">
      <w:pPr>
        <w:pStyle w:val="Lijstalinea"/>
        <w:numPr>
          <w:ilvl w:val="0"/>
          <w:numId w:val="9"/>
        </w:num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 xml:space="preserve">A description of the process for selecting and assessing </w:t>
      </w:r>
      <w:r w:rsidR="007E6C1D" w:rsidRPr="00DE79CB">
        <w:rPr>
          <w:rFonts w:ascii="Verdana" w:eastAsia="Verdana" w:hAnsi="Verdana" w:cs="Verdana"/>
          <w:sz w:val="18"/>
          <w:szCs w:val="18"/>
          <w:lang w:val="en-GB"/>
        </w:rPr>
        <w:t>(</w:t>
      </w:r>
      <w:r w:rsidRPr="00DE79CB">
        <w:rPr>
          <w:rFonts w:ascii="Verdana" w:eastAsia="Verdana" w:hAnsi="Verdana" w:cs="Verdana"/>
          <w:sz w:val="18"/>
          <w:szCs w:val="18"/>
          <w:lang w:val="en-GB"/>
        </w:rPr>
        <w:t>in-country</w:t>
      </w:r>
      <w:r w:rsidR="007E6C1D" w:rsidRPr="00DE79CB">
        <w:rPr>
          <w:rFonts w:ascii="Verdana" w:eastAsia="Verdana" w:hAnsi="Verdana" w:cs="Verdana"/>
          <w:sz w:val="18"/>
          <w:szCs w:val="18"/>
          <w:lang w:val="en-GB"/>
        </w:rPr>
        <w:t>)</w:t>
      </w:r>
      <w:r w:rsidRPr="00DE79CB">
        <w:rPr>
          <w:rFonts w:ascii="Verdana" w:eastAsia="Verdana" w:hAnsi="Verdana" w:cs="Verdana"/>
          <w:sz w:val="18"/>
          <w:szCs w:val="18"/>
          <w:lang w:val="en-GB"/>
        </w:rPr>
        <w:t xml:space="preserve"> </w:t>
      </w:r>
      <w:r w:rsidRPr="00DE79CB">
        <w:rPr>
          <w:rFonts w:ascii="Verdana" w:eastAsia="Verdana" w:hAnsi="Verdana" w:cs="Verdana"/>
          <w:i/>
          <w:iCs/>
          <w:sz w:val="18"/>
          <w:szCs w:val="18"/>
          <w:lang w:val="en-GB"/>
        </w:rPr>
        <w:t>partners</w:t>
      </w:r>
      <w:r w:rsidRPr="00DE79CB">
        <w:rPr>
          <w:rFonts w:ascii="Verdana" w:eastAsia="Verdana" w:hAnsi="Verdana" w:cs="Verdana"/>
          <w:sz w:val="18"/>
          <w:szCs w:val="18"/>
          <w:lang w:val="en-GB"/>
        </w:rPr>
        <w:t xml:space="preserve"> in relation to the financial support they will receive for service provision and dialogue activities. </w:t>
      </w:r>
    </w:p>
    <w:p w14:paraId="5315C183" w14:textId="07909853" w:rsidR="002F10F0" w:rsidRPr="00DE79CB" w:rsidRDefault="002F10F0" w:rsidP="00655670">
      <w:pPr>
        <w:pStyle w:val="Lijstalinea"/>
        <w:numPr>
          <w:ilvl w:val="0"/>
          <w:numId w:val="9"/>
        </w:num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 xml:space="preserve">A description of the process for selecting and assessing </w:t>
      </w:r>
      <w:r w:rsidRPr="00DE79CB">
        <w:rPr>
          <w:rFonts w:ascii="Verdana" w:eastAsia="Verdana" w:hAnsi="Verdana" w:cs="Verdana"/>
          <w:i/>
          <w:iCs/>
          <w:sz w:val="18"/>
          <w:szCs w:val="18"/>
          <w:lang w:val="en-GB"/>
        </w:rPr>
        <w:t>in-country partners</w:t>
      </w:r>
      <w:r w:rsidRPr="00DE79CB">
        <w:rPr>
          <w:rFonts w:ascii="Verdana" w:eastAsia="Verdana" w:hAnsi="Verdana" w:cs="Verdana"/>
          <w:sz w:val="18"/>
          <w:szCs w:val="18"/>
          <w:lang w:val="en-GB"/>
        </w:rPr>
        <w:t xml:space="preserve"> for capacity-</w:t>
      </w:r>
      <w:r w:rsidR="007E6C1D" w:rsidRPr="00DE79CB">
        <w:rPr>
          <w:rFonts w:ascii="Verdana" w:eastAsia="Verdana" w:hAnsi="Verdana" w:cs="Verdana"/>
          <w:sz w:val="18"/>
          <w:szCs w:val="18"/>
          <w:lang w:val="en-GB"/>
        </w:rPr>
        <w:t xml:space="preserve">strengthening </w:t>
      </w:r>
      <w:r w:rsidRPr="00DE79CB">
        <w:rPr>
          <w:rFonts w:ascii="Verdana" w:eastAsia="Verdana" w:hAnsi="Verdana" w:cs="Verdana"/>
          <w:sz w:val="18"/>
          <w:szCs w:val="18"/>
          <w:lang w:val="en-GB"/>
        </w:rPr>
        <w:t>activities, demonstrating a demand-driven approach that takes account of the local context and the capacity needs of in-country partners.</w:t>
      </w:r>
    </w:p>
    <w:p w14:paraId="33693628" w14:textId="4F29A534" w:rsidR="00704793" w:rsidRPr="00DE79CB" w:rsidRDefault="002D5A84" w:rsidP="00655670">
      <w:pPr>
        <w:pStyle w:val="Lijstalinea"/>
        <w:numPr>
          <w:ilvl w:val="0"/>
          <w:numId w:val="8"/>
        </w:numPr>
        <w:spacing w:after="0" w:line="240" w:lineRule="auto"/>
        <w:rPr>
          <w:rFonts w:ascii="Verdana" w:hAnsi="Verdana"/>
          <w:sz w:val="18"/>
          <w:szCs w:val="18"/>
          <w:lang w:val="en-US"/>
        </w:rPr>
      </w:pPr>
      <w:bookmarkStart w:id="13" w:name="_Hlk217029724"/>
      <w:r w:rsidRPr="00DE79CB">
        <w:rPr>
          <w:rFonts w:ascii="Verdana" w:hAnsi="Verdana"/>
          <w:sz w:val="18"/>
          <w:szCs w:val="18"/>
          <w:lang w:val="en-GB"/>
        </w:rPr>
        <w:t>Documentation to support the organizational capacity and integrity policy (see the ORIA assessment guide on the RVO website</w:t>
      </w:r>
      <w:r w:rsidRPr="00DE79CB">
        <w:rPr>
          <w:rStyle w:val="Voetnootmarkering"/>
          <w:rFonts w:ascii="Verdana" w:hAnsi="Verdana"/>
          <w:sz w:val="18"/>
          <w:szCs w:val="18"/>
          <w:lang w:val="en-GB"/>
        </w:rPr>
        <w:footnoteReference w:id="22"/>
      </w:r>
      <w:r w:rsidRPr="00DE79CB">
        <w:rPr>
          <w:rFonts w:ascii="Verdana" w:hAnsi="Verdana"/>
          <w:sz w:val="18"/>
          <w:szCs w:val="18"/>
          <w:lang w:val="en-GB"/>
        </w:rPr>
        <w:t>).</w:t>
      </w:r>
      <w:r w:rsidRPr="00DE79CB" w:rsidDel="002D5A84">
        <w:rPr>
          <w:rFonts w:ascii="Verdana" w:hAnsi="Verdana"/>
          <w:sz w:val="18"/>
          <w:szCs w:val="18"/>
          <w:lang w:val="en-GB"/>
        </w:rPr>
        <w:t xml:space="preserve"> </w:t>
      </w:r>
      <w:bookmarkEnd w:id="13"/>
      <w:r w:rsidRPr="00DE79CB">
        <w:rPr>
          <w:rFonts w:ascii="Verdana" w:hAnsi="Verdana"/>
          <w:sz w:val="18"/>
          <w:szCs w:val="18"/>
          <w:lang w:val="en-GB"/>
        </w:rPr>
        <w:t xml:space="preserve">The fully completed financial independence form. See Appendix 4 of these policy rules (and </w:t>
      </w:r>
      <w:r w:rsidR="00D52201" w:rsidRPr="00DE79CB">
        <w:rPr>
          <w:rFonts w:ascii="Verdana" w:hAnsi="Verdana"/>
          <w:sz w:val="18"/>
          <w:szCs w:val="18"/>
          <w:lang w:val="en-GB"/>
        </w:rPr>
        <w:t>Annex</w:t>
      </w:r>
      <w:r w:rsidRPr="00DE79CB">
        <w:rPr>
          <w:rFonts w:ascii="Verdana" w:hAnsi="Verdana"/>
          <w:sz w:val="18"/>
          <w:szCs w:val="18"/>
          <w:lang w:val="en-GB"/>
        </w:rPr>
        <w:t xml:space="preserve"> 5 of the application form) for further explanation. Further information on the financial independence of </w:t>
      </w:r>
      <w:r w:rsidR="007E6C1D" w:rsidRPr="00DE79CB">
        <w:rPr>
          <w:rFonts w:ascii="Verdana" w:hAnsi="Verdana"/>
          <w:sz w:val="18"/>
          <w:szCs w:val="18"/>
          <w:lang w:val="en-GB"/>
        </w:rPr>
        <w:t xml:space="preserve">specialist and small southern </w:t>
      </w:r>
      <w:r w:rsidRPr="00DE79CB">
        <w:rPr>
          <w:rFonts w:ascii="Verdana" w:hAnsi="Verdana"/>
          <w:sz w:val="18"/>
          <w:szCs w:val="18"/>
          <w:lang w:val="en-GB"/>
        </w:rPr>
        <w:t>organizations can also be found in Appendix 4 of these policy rules.</w:t>
      </w:r>
      <w:r w:rsidR="00D120F4" w:rsidRPr="00DE79CB">
        <w:rPr>
          <w:rFonts w:ascii="Verdana" w:hAnsi="Verdana"/>
          <w:sz w:val="18"/>
          <w:szCs w:val="18"/>
          <w:lang w:val="en-GB"/>
        </w:rPr>
        <w:t xml:space="preserve"> </w:t>
      </w:r>
      <w:bookmarkStart w:id="14" w:name="_Hlk217029650"/>
      <w:r w:rsidR="00061BE4" w:rsidRPr="00DE79CB">
        <w:rPr>
          <w:rFonts w:ascii="Verdana" w:hAnsi="Verdana"/>
          <w:sz w:val="18"/>
          <w:szCs w:val="18"/>
          <w:lang w:val="en-GB"/>
        </w:rPr>
        <w:t xml:space="preserve">A budget prepared using the mandatory template; </w:t>
      </w:r>
    </w:p>
    <w:p w14:paraId="36D04C90" w14:textId="17601CCE" w:rsidR="00704793" w:rsidRPr="00DE79CB" w:rsidRDefault="00061BE4" w:rsidP="00704793">
      <w:pPr>
        <w:pStyle w:val="Lijstalinea"/>
        <w:numPr>
          <w:ilvl w:val="0"/>
          <w:numId w:val="9"/>
        </w:numPr>
        <w:spacing w:after="0" w:line="240" w:lineRule="auto"/>
        <w:rPr>
          <w:rFonts w:ascii="Verdana" w:hAnsi="Verdana"/>
          <w:sz w:val="18"/>
          <w:szCs w:val="18"/>
          <w:lang w:val="en-US"/>
        </w:rPr>
      </w:pPr>
      <w:r w:rsidRPr="00DE79CB">
        <w:rPr>
          <w:rFonts w:ascii="Verdana" w:hAnsi="Verdana"/>
          <w:sz w:val="18"/>
          <w:szCs w:val="18"/>
          <w:lang w:val="en-GB"/>
        </w:rPr>
        <w:t>a detailed budget for the first twelve months, as well as a multi-year financial projection for the remainder of the project period</w:t>
      </w:r>
      <w:r w:rsidR="00704793" w:rsidRPr="00DE79CB">
        <w:rPr>
          <w:rFonts w:ascii="Verdana" w:hAnsi="Verdana"/>
          <w:sz w:val="18"/>
          <w:szCs w:val="18"/>
          <w:lang w:val="en-GB"/>
        </w:rPr>
        <w:t>.</w:t>
      </w:r>
      <w:r w:rsidRPr="00DE79CB">
        <w:rPr>
          <w:rFonts w:ascii="Verdana" w:hAnsi="Verdana"/>
          <w:sz w:val="18"/>
          <w:szCs w:val="18"/>
          <w:lang w:val="en-GB"/>
        </w:rPr>
        <w:t xml:space="preserve"> </w:t>
      </w:r>
      <w:r w:rsidR="00704793" w:rsidRPr="00DE79CB">
        <w:rPr>
          <w:rFonts w:ascii="Verdana" w:hAnsi="Verdana"/>
          <w:sz w:val="18"/>
          <w:szCs w:val="18"/>
          <w:lang w:val="en-GB"/>
        </w:rPr>
        <w:t>All this in Excel according to annex 2 of the application form;</w:t>
      </w:r>
    </w:p>
    <w:p w14:paraId="265FFFE4" w14:textId="1BDE3628" w:rsidR="00061BE4" w:rsidRPr="00DE79CB" w:rsidRDefault="00061BE4" w:rsidP="003C297D">
      <w:pPr>
        <w:pStyle w:val="Lijstalinea"/>
        <w:numPr>
          <w:ilvl w:val="0"/>
          <w:numId w:val="9"/>
        </w:numPr>
        <w:spacing w:after="0" w:line="240" w:lineRule="auto"/>
        <w:rPr>
          <w:rFonts w:ascii="Verdana" w:hAnsi="Verdana"/>
          <w:sz w:val="18"/>
          <w:szCs w:val="18"/>
          <w:lang w:val="en-US"/>
        </w:rPr>
      </w:pPr>
      <w:r w:rsidRPr="00DE79CB">
        <w:rPr>
          <w:rFonts w:ascii="Verdana" w:hAnsi="Verdana"/>
          <w:sz w:val="18"/>
          <w:szCs w:val="18"/>
          <w:lang w:val="en-GB"/>
        </w:rPr>
        <w:t xml:space="preserve">a narrative explanation of how the budget amounts were determined (no template available); and all underlying </w:t>
      </w:r>
      <w:proofErr w:type="spellStart"/>
      <w:r w:rsidRPr="00DE79CB">
        <w:rPr>
          <w:rFonts w:ascii="Verdana" w:hAnsi="Verdana"/>
          <w:sz w:val="18"/>
          <w:szCs w:val="18"/>
          <w:lang w:val="en-GB"/>
        </w:rPr>
        <w:t>PxQ</w:t>
      </w:r>
      <w:proofErr w:type="spellEnd"/>
      <w:r w:rsidRPr="00DE79CB">
        <w:rPr>
          <w:rFonts w:ascii="Verdana" w:hAnsi="Verdana"/>
          <w:sz w:val="18"/>
          <w:szCs w:val="18"/>
          <w:lang w:val="en-GB"/>
        </w:rPr>
        <w:t xml:space="preserve"> calculations (no template available)</w:t>
      </w:r>
    </w:p>
    <w:p w14:paraId="048D0E49" w14:textId="31A97A1D" w:rsidR="005F1F3A" w:rsidRPr="00DE79CB" w:rsidRDefault="00D52211" w:rsidP="0026736F">
      <w:pPr>
        <w:pStyle w:val="Lijstalinea"/>
        <w:numPr>
          <w:ilvl w:val="0"/>
          <w:numId w:val="8"/>
        </w:numPr>
        <w:spacing w:after="0" w:line="240" w:lineRule="auto"/>
        <w:rPr>
          <w:rFonts w:ascii="Verdana" w:hAnsi="Verdana"/>
          <w:sz w:val="18"/>
          <w:szCs w:val="18"/>
          <w:lang w:val="en-US"/>
        </w:rPr>
      </w:pPr>
      <w:r w:rsidRPr="00DE79CB">
        <w:rPr>
          <w:rFonts w:ascii="Verdana" w:eastAsia="Verdana" w:hAnsi="Verdana" w:cs="Verdana"/>
          <w:sz w:val="18"/>
          <w:szCs w:val="18"/>
          <w:lang w:val="en-GB"/>
        </w:rPr>
        <w:t>'The applicant's most recent annual financial statements for the years 2022, 2023 and 2024, audited by an independent external auditor. Where audited financial statements are not available for one or more of these years, unaudited statements may be submitted for those years, accompanied by an explanation of why they were not audited.</w:t>
      </w:r>
    </w:p>
    <w:p w14:paraId="19BFEFCA" w14:textId="77777777" w:rsidR="00690741" w:rsidRPr="00DE79CB" w:rsidRDefault="00690741" w:rsidP="005363CC">
      <w:pPr>
        <w:pStyle w:val="Lijstalinea"/>
        <w:spacing w:after="0" w:line="240" w:lineRule="auto"/>
        <w:ind w:left="360"/>
        <w:rPr>
          <w:rFonts w:ascii="Verdana" w:eastAsia="Verdana" w:hAnsi="Verdana" w:cs="Verdana"/>
          <w:sz w:val="18"/>
          <w:szCs w:val="18"/>
          <w:lang w:val="en-US"/>
        </w:rPr>
      </w:pPr>
      <w:bookmarkStart w:id="15" w:name="_Hlk201570115"/>
      <w:bookmarkEnd w:id="14"/>
    </w:p>
    <w:p w14:paraId="492DE3ED" w14:textId="6F80C3A0" w:rsidR="00277A57" w:rsidRPr="00DE79CB" w:rsidRDefault="006F1010"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Applicants must declare that they are aware of, and will act in accordance with, the OECD Guidelines</w:t>
      </w:r>
      <w:r w:rsidRPr="00DE79CB">
        <w:rPr>
          <w:rStyle w:val="Voetnootmarkering"/>
          <w:rFonts w:ascii="Verdana" w:eastAsia="Verdana" w:hAnsi="Verdana" w:cs="Verdana"/>
          <w:sz w:val="18"/>
          <w:szCs w:val="18"/>
          <w:lang w:val="en-GB"/>
        </w:rPr>
        <w:footnoteReference w:id="23"/>
      </w:r>
      <w:r w:rsidRPr="00DE79CB">
        <w:rPr>
          <w:rFonts w:ascii="Verdana" w:eastAsia="Verdana" w:hAnsi="Verdana" w:cs="Verdana"/>
          <w:sz w:val="18"/>
          <w:szCs w:val="18"/>
          <w:lang w:val="en-GB"/>
        </w:rPr>
        <w:t>, and that they do not carry out activities included on the FMO exclusion</w:t>
      </w:r>
      <w:r w:rsidRPr="00DE79CB">
        <w:rPr>
          <w:rStyle w:val="Voetnootmarkering"/>
          <w:rFonts w:ascii="Verdana" w:eastAsia="Verdana" w:hAnsi="Verdana" w:cs="Verdana"/>
          <w:sz w:val="18"/>
          <w:szCs w:val="18"/>
          <w:lang w:val="en-GB"/>
        </w:rPr>
        <w:footnoteReference w:id="24"/>
      </w:r>
      <w:r w:rsidRPr="00DE79CB">
        <w:rPr>
          <w:rFonts w:ascii="Verdana" w:eastAsia="Verdana" w:hAnsi="Verdana" w:cs="Verdana"/>
          <w:sz w:val="18"/>
          <w:szCs w:val="18"/>
          <w:lang w:val="en-GB"/>
        </w:rPr>
        <w:t xml:space="preserve"> list. An exception applies where the grant is used specifically to address activities on the FMO exclusion list, such as efforts to combat child labour or forced labour.  </w:t>
      </w:r>
    </w:p>
    <w:bookmarkEnd w:id="15"/>
    <w:p w14:paraId="337C8484" w14:textId="77777777" w:rsidR="00C31933" w:rsidRPr="00DE79CB" w:rsidRDefault="00C31933" w:rsidP="00655670">
      <w:pPr>
        <w:spacing w:after="0" w:line="240" w:lineRule="auto"/>
        <w:rPr>
          <w:rFonts w:ascii="Verdana" w:eastAsia="Verdana" w:hAnsi="Verdana" w:cs="Verdana"/>
          <w:b/>
          <w:bCs/>
          <w:i/>
          <w:iCs/>
          <w:sz w:val="18"/>
          <w:szCs w:val="18"/>
          <w:lang w:val="en-US"/>
        </w:rPr>
      </w:pPr>
    </w:p>
    <w:p w14:paraId="23B90AB9" w14:textId="72F1A081" w:rsidR="0054638D" w:rsidRPr="00DE79CB" w:rsidRDefault="004B781B" w:rsidP="00655670">
      <w:pPr>
        <w:spacing w:after="0" w:line="240" w:lineRule="auto"/>
        <w:rPr>
          <w:rFonts w:ascii="Verdana" w:eastAsia="Verdana" w:hAnsi="Verdana" w:cs="Verdana"/>
          <w:i/>
          <w:sz w:val="18"/>
          <w:szCs w:val="18"/>
          <w:lang w:val="en-US"/>
        </w:rPr>
      </w:pPr>
      <w:r w:rsidRPr="00DE79CB">
        <w:rPr>
          <w:rFonts w:ascii="Verdana" w:eastAsia="Verdana" w:hAnsi="Verdana" w:cs="Verdana"/>
          <w:i/>
          <w:iCs/>
          <w:sz w:val="18"/>
          <w:szCs w:val="18"/>
          <w:lang w:val="en-GB"/>
        </w:rPr>
        <w:t>6.2 Rectification period</w:t>
      </w:r>
    </w:p>
    <w:p w14:paraId="17B0AFA0" w14:textId="1A0EC34F" w:rsidR="008F675A" w:rsidRPr="00DE79CB" w:rsidRDefault="008F675A"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Applicants are expressly referred to Article 7 (3) of the Ministry of Foreign Affairs Grants Decree. Where an application is submitted incomplete, the Minister may, pursuant to Article 4:5 of the General Administrative Law Act, request the applicant to supplement the application. In that case, the date and time of receipt of the application will be deemed to be the date and time on which the requested supplement is received. After the application deadline, applications can no longer be supplemented. As a general rule, failure to submit a complete application or to adequately substantiate one or more elements of the application may result in rejection of the application on the grounds that the requirements and criteria applicable to applications have not been met, or have not been met to a sufficient degree.</w:t>
      </w:r>
    </w:p>
    <w:p w14:paraId="722434B4" w14:textId="77777777" w:rsidR="003E0338" w:rsidRPr="00DE79CB" w:rsidRDefault="003E0338" w:rsidP="00655670">
      <w:pPr>
        <w:spacing w:after="0" w:line="240" w:lineRule="auto"/>
        <w:rPr>
          <w:rFonts w:ascii="Verdana" w:eastAsia="Verdana" w:hAnsi="Verdana" w:cs="Verdana"/>
          <w:sz w:val="18"/>
          <w:szCs w:val="18"/>
          <w:lang w:val="en-US"/>
        </w:rPr>
      </w:pPr>
    </w:p>
    <w:p w14:paraId="704E39B4" w14:textId="5F4C4FD5" w:rsidR="008F675A" w:rsidRPr="00DE79CB" w:rsidRDefault="008F675A" w:rsidP="00655670">
      <w:pPr>
        <w:spacing w:after="0" w:line="240" w:lineRule="auto"/>
        <w:rPr>
          <w:rFonts w:ascii="Verdana" w:eastAsia="Verdana" w:hAnsi="Verdana" w:cs="Verdana"/>
          <w:sz w:val="18"/>
          <w:szCs w:val="18"/>
          <w:lang w:val="en-US"/>
        </w:rPr>
      </w:pPr>
      <w:r w:rsidRPr="00DE79CB">
        <w:rPr>
          <w:rFonts w:ascii="Verdana" w:hAnsi="Verdana"/>
          <w:sz w:val="18"/>
          <w:szCs w:val="18"/>
          <w:lang w:val="en-GB"/>
        </w:rPr>
        <w:t>Simple references to other parts of the application, websites or attachments is not sufficient. If parts of the application documents are left empty, the applicant runs the risk that the application will be rejected.</w:t>
      </w:r>
      <w:r w:rsidRPr="00DE79CB">
        <w:rPr>
          <w:rFonts w:ascii="Verdana" w:hAnsi="Verdana"/>
          <w:sz w:val="18"/>
          <w:szCs w:val="18"/>
          <w:lang w:val="en-GB"/>
        </w:rPr>
        <w:br/>
      </w:r>
    </w:p>
    <w:p w14:paraId="3A5524B3" w14:textId="77777777" w:rsidR="004B781B" w:rsidRPr="00DE79CB" w:rsidRDefault="004B781B" w:rsidP="00655670">
      <w:pPr>
        <w:spacing w:after="0" w:line="240" w:lineRule="auto"/>
        <w:rPr>
          <w:rFonts w:ascii="Verdana" w:eastAsia="Verdana" w:hAnsi="Verdana" w:cs="Verdana"/>
          <w:b/>
          <w:bCs/>
          <w:sz w:val="18"/>
          <w:szCs w:val="18"/>
          <w:lang w:val="en-US"/>
        </w:rPr>
      </w:pPr>
      <w:bookmarkStart w:id="16" w:name="_Hlk162277766"/>
      <w:r w:rsidRPr="00DE79CB">
        <w:rPr>
          <w:rFonts w:ascii="Verdana" w:eastAsia="Verdana" w:hAnsi="Verdana" w:cs="Verdana"/>
          <w:b/>
          <w:bCs/>
          <w:sz w:val="18"/>
          <w:szCs w:val="18"/>
          <w:lang w:val="en-GB"/>
        </w:rPr>
        <w:t>7. Assessment and allocation of available funds</w:t>
      </w:r>
    </w:p>
    <w:p w14:paraId="40E66E2E" w14:textId="77777777" w:rsidR="005328FC" w:rsidRPr="00DE79CB" w:rsidRDefault="005328FC" w:rsidP="00655670">
      <w:pPr>
        <w:spacing w:after="0" w:line="240" w:lineRule="auto"/>
        <w:rPr>
          <w:rFonts w:ascii="Verdana" w:eastAsia="Verdana" w:hAnsi="Verdana" w:cs="Verdana"/>
          <w:i/>
          <w:iCs/>
          <w:sz w:val="18"/>
          <w:szCs w:val="18"/>
          <w:lang w:val="en-US"/>
        </w:rPr>
      </w:pPr>
    </w:p>
    <w:p w14:paraId="6F6DBD44" w14:textId="23EFC85D" w:rsidR="004B781B" w:rsidRPr="00DE79CB" w:rsidRDefault="004B781B" w:rsidP="00655670">
      <w:pPr>
        <w:spacing w:after="0" w:line="240" w:lineRule="auto"/>
        <w:rPr>
          <w:rFonts w:ascii="Verdana" w:eastAsia="Verdana" w:hAnsi="Verdana" w:cs="Verdana"/>
          <w:i/>
          <w:sz w:val="18"/>
          <w:szCs w:val="18"/>
          <w:lang w:val="en-US"/>
        </w:rPr>
      </w:pPr>
      <w:r w:rsidRPr="00DE79CB">
        <w:rPr>
          <w:rFonts w:ascii="Verdana" w:eastAsia="Verdana" w:hAnsi="Verdana" w:cs="Verdana"/>
          <w:i/>
          <w:iCs/>
          <w:sz w:val="18"/>
          <w:szCs w:val="18"/>
          <w:lang w:val="en-GB"/>
        </w:rPr>
        <w:t>7.1 Assessment and allocation</w:t>
      </w:r>
    </w:p>
    <w:p w14:paraId="6002DC87" w14:textId="77777777" w:rsidR="004B781B" w:rsidRPr="00DE79CB" w:rsidRDefault="004B781B"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The provisions of the General Administrative Law Act, the Ministry of Foreign Affairs Grants Decree and the Ministry of Foreign Affairs Grant Regulations 2006 apply in full to the assessment of applications and the granting of funds under this grant programme. Applications will be assessed in accordance with the above legislation and pursuant to the standards set out in this grant programme.</w:t>
      </w:r>
    </w:p>
    <w:p w14:paraId="68D30693" w14:textId="77777777" w:rsidR="004B781B" w:rsidRPr="00DE79CB" w:rsidRDefault="004B781B" w:rsidP="00655670">
      <w:pPr>
        <w:spacing w:after="0" w:line="240" w:lineRule="auto"/>
        <w:rPr>
          <w:rFonts w:ascii="Verdana" w:eastAsia="Verdana" w:hAnsi="Verdana" w:cs="Verdana"/>
          <w:sz w:val="18"/>
          <w:szCs w:val="18"/>
          <w:lang w:val="en-US"/>
        </w:rPr>
      </w:pPr>
    </w:p>
    <w:p w14:paraId="3AAC8803" w14:textId="5B0B0E63" w:rsidR="004B781B" w:rsidRPr="00DE79CB" w:rsidRDefault="004B781B"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 xml:space="preserve">To qualify for funding, an application must meet the requirements set out in sections 4 through 6. Only applications that meet these requirements will be assessed substantively on quality, following </w:t>
      </w:r>
      <w:r w:rsidRPr="00DE79CB">
        <w:rPr>
          <w:rFonts w:ascii="Verdana" w:eastAsia="Verdana" w:hAnsi="Verdana" w:cs="Verdana"/>
          <w:sz w:val="18"/>
          <w:szCs w:val="18"/>
          <w:lang w:val="en-GB"/>
        </w:rPr>
        <w:lastRenderedPageBreak/>
        <w:t xml:space="preserve">the criteria set out in section 7.2. To qualify for funding, an application must achieve a minimum score of at least 70 points out of the maximum 100 points available. </w:t>
      </w:r>
    </w:p>
    <w:p w14:paraId="77BEDA2F" w14:textId="77777777" w:rsidR="004B4B39" w:rsidRPr="00DE79CB" w:rsidRDefault="004B4B39" w:rsidP="00655670">
      <w:pPr>
        <w:spacing w:after="0" w:line="240" w:lineRule="auto"/>
        <w:rPr>
          <w:rFonts w:ascii="Verdana" w:eastAsia="Verdana" w:hAnsi="Verdana" w:cs="Verdana"/>
          <w:sz w:val="18"/>
          <w:szCs w:val="18"/>
          <w:lang w:val="en-US"/>
        </w:rPr>
      </w:pPr>
    </w:p>
    <w:tbl>
      <w:tblPr>
        <w:tblW w:w="8359" w:type="dxa"/>
        <w:tblCellMar>
          <w:left w:w="70" w:type="dxa"/>
          <w:right w:w="70" w:type="dxa"/>
        </w:tblCellMar>
        <w:tblLook w:val="04A0" w:firstRow="1" w:lastRow="0" w:firstColumn="1" w:lastColumn="0" w:noHBand="0" w:noVBand="1"/>
      </w:tblPr>
      <w:tblGrid>
        <w:gridCol w:w="3539"/>
        <w:gridCol w:w="2126"/>
        <w:gridCol w:w="2694"/>
      </w:tblGrid>
      <w:tr w:rsidR="00561DCA" w:rsidRPr="00DE79CB" w14:paraId="1FD57B82" w14:textId="77777777" w:rsidTr="004B4B39">
        <w:trPr>
          <w:trHeight w:val="446"/>
        </w:trPr>
        <w:tc>
          <w:tcPr>
            <w:tcW w:w="3539" w:type="dxa"/>
            <w:tcBorders>
              <w:top w:val="single" w:sz="4" w:space="0" w:color="auto"/>
              <w:left w:val="single" w:sz="4" w:space="0" w:color="auto"/>
              <w:bottom w:val="single" w:sz="4" w:space="0" w:color="auto"/>
              <w:right w:val="single" w:sz="4" w:space="0" w:color="auto"/>
            </w:tcBorders>
            <w:vAlign w:val="center"/>
            <w:hideMark/>
          </w:tcPr>
          <w:p w14:paraId="038B0067" w14:textId="77777777" w:rsidR="00561DCA" w:rsidRPr="00DE79CB" w:rsidRDefault="00561DCA" w:rsidP="00655670">
            <w:pPr>
              <w:spacing w:after="0" w:line="240" w:lineRule="auto"/>
              <w:rPr>
                <w:rFonts w:ascii="Verdana" w:eastAsia="Verdana" w:hAnsi="Verdana" w:cs="Verdana"/>
                <w:b/>
                <w:bCs/>
                <w:color w:val="000000" w:themeColor="text1"/>
                <w:sz w:val="18"/>
                <w:szCs w:val="18"/>
              </w:rPr>
            </w:pPr>
            <w:r w:rsidRPr="00DE79CB">
              <w:rPr>
                <w:rFonts w:ascii="Verdana" w:eastAsia="Verdana" w:hAnsi="Verdana" w:cs="Verdana"/>
                <w:b/>
                <w:bCs/>
                <w:color w:val="000000"/>
                <w:sz w:val="18"/>
                <w:szCs w:val="18"/>
                <w:lang w:val="en-GB"/>
              </w:rPr>
              <w:t>Component</w:t>
            </w:r>
          </w:p>
        </w:tc>
        <w:tc>
          <w:tcPr>
            <w:tcW w:w="2126" w:type="dxa"/>
            <w:tcBorders>
              <w:top w:val="single" w:sz="4" w:space="0" w:color="auto"/>
              <w:left w:val="nil"/>
              <w:bottom w:val="single" w:sz="4" w:space="0" w:color="auto"/>
              <w:right w:val="single" w:sz="4" w:space="0" w:color="auto"/>
            </w:tcBorders>
            <w:vAlign w:val="center"/>
            <w:hideMark/>
          </w:tcPr>
          <w:p w14:paraId="069B29DE" w14:textId="77777777" w:rsidR="00561DCA" w:rsidRPr="00DE79CB" w:rsidRDefault="00561DCA" w:rsidP="00655670">
            <w:pPr>
              <w:spacing w:after="0" w:line="240" w:lineRule="auto"/>
              <w:jc w:val="center"/>
              <w:rPr>
                <w:rFonts w:ascii="Verdana" w:eastAsia="Verdana" w:hAnsi="Verdana" w:cs="Verdana"/>
                <w:b/>
                <w:bCs/>
                <w:color w:val="000000" w:themeColor="text1"/>
                <w:sz w:val="18"/>
                <w:szCs w:val="18"/>
              </w:rPr>
            </w:pPr>
            <w:r w:rsidRPr="00DE79CB">
              <w:rPr>
                <w:rFonts w:ascii="Verdana" w:eastAsia="Verdana" w:hAnsi="Verdana" w:cs="Verdana"/>
                <w:b/>
                <w:bCs/>
                <w:color w:val="000000"/>
                <w:sz w:val="18"/>
                <w:szCs w:val="18"/>
                <w:lang w:val="en-GB"/>
              </w:rPr>
              <w:t>Maximum score</w:t>
            </w:r>
          </w:p>
        </w:tc>
        <w:tc>
          <w:tcPr>
            <w:tcW w:w="2694" w:type="dxa"/>
            <w:tcBorders>
              <w:top w:val="single" w:sz="4" w:space="0" w:color="auto"/>
              <w:left w:val="nil"/>
              <w:bottom w:val="single" w:sz="4" w:space="0" w:color="auto"/>
              <w:right w:val="single" w:sz="4" w:space="0" w:color="auto"/>
            </w:tcBorders>
            <w:vAlign w:val="center"/>
            <w:hideMark/>
          </w:tcPr>
          <w:p w14:paraId="09A1D0D7" w14:textId="77777777" w:rsidR="00561DCA" w:rsidRPr="00DE79CB" w:rsidRDefault="00561DCA" w:rsidP="00655670">
            <w:pPr>
              <w:spacing w:after="0" w:line="240" w:lineRule="auto"/>
              <w:jc w:val="center"/>
              <w:rPr>
                <w:rFonts w:ascii="Verdana" w:eastAsia="Verdana" w:hAnsi="Verdana" w:cs="Verdana"/>
                <w:b/>
                <w:bCs/>
                <w:color w:val="000000" w:themeColor="text1"/>
                <w:sz w:val="18"/>
                <w:szCs w:val="18"/>
              </w:rPr>
            </w:pPr>
            <w:r w:rsidRPr="00DE79CB">
              <w:rPr>
                <w:rFonts w:ascii="Verdana" w:eastAsia="Verdana" w:hAnsi="Verdana" w:cs="Verdana"/>
                <w:b/>
                <w:bCs/>
                <w:color w:val="000000"/>
                <w:sz w:val="18"/>
                <w:szCs w:val="18"/>
                <w:lang w:val="en-GB"/>
              </w:rPr>
              <w:t>Minimum score per component</w:t>
            </w:r>
          </w:p>
        </w:tc>
      </w:tr>
      <w:tr w:rsidR="00561DCA" w:rsidRPr="00DE79CB" w14:paraId="30D64EF9" w14:textId="77777777" w:rsidTr="004B4B39">
        <w:trPr>
          <w:trHeight w:val="223"/>
        </w:trPr>
        <w:tc>
          <w:tcPr>
            <w:tcW w:w="3539" w:type="dxa"/>
            <w:tcBorders>
              <w:top w:val="nil"/>
              <w:left w:val="single" w:sz="4" w:space="0" w:color="auto"/>
              <w:bottom w:val="single" w:sz="4" w:space="0" w:color="auto"/>
              <w:right w:val="single" w:sz="4" w:space="0" w:color="auto"/>
            </w:tcBorders>
            <w:vAlign w:val="center"/>
            <w:hideMark/>
          </w:tcPr>
          <w:p w14:paraId="5BEFF4EE" w14:textId="77777777" w:rsidR="00561DCA" w:rsidRPr="00DE79CB" w:rsidRDefault="00561DCA" w:rsidP="00655670">
            <w:pPr>
              <w:spacing w:after="0" w:line="240" w:lineRule="auto"/>
              <w:rPr>
                <w:rFonts w:ascii="Verdana" w:eastAsia="Verdana" w:hAnsi="Verdana" w:cs="Verdana"/>
                <w:color w:val="000000" w:themeColor="text1"/>
                <w:sz w:val="18"/>
                <w:szCs w:val="18"/>
              </w:rPr>
            </w:pPr>
            <w:r w:rsidRPr="00DE79CB">
              <w:rPr>
                <w:rFonts w:ascii="Verdana" w:eastAsia="Verdana" w:hAnsi="Verdana" w:cs="Verdana"/>
                <w:color w:val="000000"/>
                <w:sz w:val="18"/>
                <w:szCs w:val="18"/>
                <w:lang w:val="en-GB"/>
              </w:rPr>
              <w:t>Track record</w:t>
            </w:r>
          </w:p>
        </w:tc>
        <w:tc>
          <w:tcPr>
            <w:tcW w:w="2126" w:type="dxa"/>
            <w:tcBorders>
              <w:top w:val="nil"/>
              <w:left w:val="nil"/>
              <w:bottom w:val="single" w:sz="4" w:space="0" w:color="auto"/>
              <w:right w:val="single" w:sz="4" w:space="0" w:color="auto"/>
            </w:tcBorders>
            <w:vAlign w:val="center"/>
            <w:hideMark/>
          </w:tcPr>
          <w:p w14:paraId="1F942BF9" w14:textId="1E6FC719" w:rsidR="00561DCA" w:rsidRPr="00DE79CB" w:rsidRDefault="002C52BD" w:rsidP="00655670">
            <w:pPr>
              <w:spacing w:after="0" w:line="240" w:lineRule="auto"/>
              <w:jc w:val="center"/>
              <w:rPr>
                <w:rFonts w:ascii="Verdana" w:eastAsia="Verdana" w:hAnsi="Verdana" w:cs="Verdana"/>
                <w:color w:val="000000" w:themeColor="text1"/>
                <w:sz w:val="18"/>
                <w:szCs w:val="18"/>
              </w:rPr>
            </w:pPr>
            <w:r w:rsidRPr="00DE79CB">
              <w:rPr>
                <w:rFonts w:ascii="Verdana" w:eastAsia="Verdana" w:hAnsi="Verdana" w:cs="Verdana"/>
                <w:color w:val="000000"/>
                <w:sz w:val="18"/>
                <w:szCs w:val="18"/>
                <w:lang w:val="en-GB"/>
              </w:rPr>
              <w:t>50</w:t>
            </w:r>
          </w:p>
        </w:tc>
        <w:tc>
          <w:tcPr>
            <w:tcW w:w="2694" w:type="dxa"/>
            <w:tcBorders>
              <w:top w:val="nil"/>
              <w:left w:val="nil"/>
              <w:bottom w:val="single" w:sz="4" w:space="0" w:color="auto"/>
              <w:right w:val="single" w:sz="4" w:space="0" w:color="auto"/>
            </w:tcBorders>
            <w:vAlign w:val="center"/>
            <w:hideMark/>
          </w:tcPr>
          <w:p w14:paraId="1267BD50" w14:textId="4135D71C" w:rsidR="00561DCA" w:rsidRPr="00DE79CB" w:rsidRDefault="002C52BD" w:rsidP="00655670">
            <w:pPr>
              <w:spacing w:after="0" w:line="240" w:lineRule="auto"/>
              <w:jc w:val="center"/>
              <w:rPr>
                <w:rFonts w:ascii="Verdana" w:eastAsia="Verdana" w:hAnsi="Verdana" w:cs="Verdana"/>
                <w:color w:val="000000" w:themeColor="text1"/>
                <w:sz w:val="18"/>
                <w:szCs w:val="18"/>
              </w:rPr>
            </w:pPr>
            <w:r w:rsidRPr="00DE79CB">
              <w:rPr>
                <w:rFonts w:ascii="Verdana" w:eastAsia="Verdana" w:hAnsi="Verdana" w:cs="Verdana"/>
                <w:color w:val="000000"/>
                <w:sz w:val="18"/>
                <w:szCs w:val="18"/>
                <w:lang w:val="en-GB"/>
              </w:rPr>
              <w:t>35</w:t>
            </w:r>
          </w:p>
        </w:tc>
      </w:tr>
      <w:tr w:rsidR="00561DCA" w:rsidRPr="00DE79CB" w14:paraId="7D034F55" w14:textId="77777777" w:rsidTr="004B4B39">
        <w:trPr>
          <w:trHeight w:val="446"/>
        </w:trPr>
        <w:tc>
          <w:tcPr>
            <w:tcW w:w="3539" w:type="dxa"/>
            <w:tcBorders>
              <w:top w:val="nil"/>
              <w:left w:val="single" w:sz="4" w:space="0" w:color="auto"/>
              <w:bottom w:val="single" w:sz="4" w:space="0" w:color="auto"/>
              <w:right w:val="single" w:sz="4" w:space="0" w:color="auto"/>
            </w:tcBorders>
            <w:vAlign w:val="center"/>
            <w:hideMark/>
          </w:tcPr>
          <w:p w14:paraId="28A0870B" w14:textId="6198B8E3" w:rsidR="00561DCA" w:rsidRPr="00DE79CB" w:rsidRDefault="00D07FE0" w:rsidP="00655670">
            <w:pPr>
              <w:spacing w:after="0" w:line="240" w:lineRule="auto"/>
              <w:rPr>
                <w:rFonts w:ascii="Verdana" w:eastAsia="Verdana" w:hAnsi="Verdana" w:cs="Verdana"/>
                <w:color w:val="000000" w:themeColor="text1"/>
                <w:sz w:val="18"/>
                <w:szCs w:val="18"/>
              </w:rPr>
            </w:pPr>
            <w:r w:rsidRPr="00DE79CB">
              <w:rPr>
                <w:rFonts w:ascii="Verdana" w:eastAsia="Verdana" w:hAnsi="Verdana" w:cs="Verdana"/>
                <w:color w:val="000000"/>
                <w:sz w:val="18"/>
                <w:szCs w:val="18"/>
                <w:lang w:val="en-GB"/>
              </w:rPr>
              <w:t>Intervention strategy including budget</w:t>
            </w:r>
          </w:p>
        </w:tc>
        <w:tc>
          <w:tcPr>
            <w:tcW w:w="2126" w:type="dxa"/>
            <w:tcBorders>
              <w:top w:val="nil"/>
              <w:left w:val="nil"/>
              <w:bottom w:val="single" w:sz="4" w:space="0" w:color="auto"/>
              <w:right w:val="single" w:sz="4" w:space="0" w:color="auto"/>
            </w:tcBorders>
            <w:vAlign w:val="center"/>
            <w:hideMark/>
          </w:tcPr>
          <w:p w14:paraId="316969A5" w14:textId="30A75780" w:rsidR="00561DCA" w:rsidRPr="00DE79CB" w:rsidRDefault="00D120F4" w:rsidP="00655670">
            <w:pPr>
              <w:spacing w:after="0" w:line="240" w:lineRule="auto"/>
              <w:jc w:val="center"/>
              <w:rPr>
                <w:rFonts w:ascii="Verdana" w:eastAsia="Verdana" w:hAnsi="Verdana" w:cs="Verdana"/>
                <w:color w:val="000000" w:themeColor="text1"/>
                <w:sz w:val="18"/>
                <w:szCs w:val="18"/>
              </w:rPr>
            </w:pPr>
            <w:r w:rsidRPr="00DE79CB">
              <w:rPr>
                <w:rFonts w:ascii="Verdana" w:hAnsi="Verdana"/>
                <w:color w:val="000000"/>
                <w:sz w:val="18"/>
                <w:szCs w:val="18"/>
                <w:lang w:val="en-GB"/>
              </w:rPr>
              <w:t>4</w:t>
            </w:r>
            <w:r w:rsidR="002C52BD" w:rsidRPr="00DE79CB">
              <w:rPr>
                <w:rFonts w:ascii="Verdana" w:hAnsi="Verdana"/>
                <w:color w:val="000000"/>
                <w:sz w:val="18"/>
                <w:szCs w:val="18"/>
                <w:lang w:val="en-GB"/>
              </w:rPr>
              <w:t>0</w:t>
            </w:r>
          </w:p>
        </w:tc>
        <w:tc>
          <w:tcPr>
            <w:tcW w:w="2694" w:type="dxa"/>
            <w:tcBorders>
              <w:top w:val="nil"/>
              <w:left w:val="nil"/>
              <w:bottom w:val="single" w:sz="4" w:space="0" w:color="auto"/>
              <w:right w:val="single" w:sz="4" w:space="0" w:color="auto"/>
            </w:tcBorders>
            <w:vAlign w:val="center"/>
            <w:hideMark/>
          </w:tcPr>
          <w:p w14:paraId="34069EB5" w14:textId="63C0B79C" w:rsidR="00561DCA" w:rsidRPr="00DE79CB" w:rsidRDefault="002C52BD" w:rsidP="00655670">
            <w:pPr>
              <w:spacing w:after="0" w:line="240" w:lineRule="auto"/>
              <w:jc w:val="center"/>
              <w:rPr>
                <w:rFonts w:ascii="Verdana" w:eastAsia="Verdana" w:hAnsi="Verdana" w:cs="Verdana"/>
                <w:color w:val="000000" w:themeColor="text1"/>
                <w:sz w:val="18"/>
                <w:szCs w:val="18"/>
              </w:rPr>
            </w:pPr>
            <w:r w:rsidRPr="00DE79CB">
              <w:rPr>
                <w:rFonts w:ascii="Verdana" w:eastAsia="Verdana" w:hAnsi="Verdana" w:cs="Verdana"/>
                <w:color w:val="000000"/>
                <w:sz w:val="18"/>
                <w:szCs w:val="18"/>
                <w:lang w:val="en-GB"/>
              </w:rPr>
              <w:t>2</w:t>
            </w:r>
            <w:r w:rsidR="00ED03CB" w:rsidRPr="00DE79CB">
              <w:rPr>
                <w:rFonts w:ascii="Verdana" w:eastAsia="Verdana" w:hAnsi="Verdana" w:cs="Verdana"/>
                <w:color w:val="000000"/>
                <w:sz w:val="18"/>
                <w:szCs w:val="18"/>
                <w:lang w:val="en-GB"/>
              </w:rPr>
              <w:t>8</w:t>
            </w:r>
          </w:p>
        </w:tc>
      </w:tr>
      <w:tr w:rsidR="00F56171" w:rsidRPr="00DE79CB" w14:paraId="5A7B739D" w14:textId="77777777" w:rsidTr="004B4B39">
        <w:trPr>
          <w:trHeight w:val="223"/>
        </w:trPr>
        <w:tc>
          <w:tcPr>
            <w:tcW w:w="3539" w:type="dxa"/>
            <w:tcBorders>
              <w:top w:val="nil"/>
              <w:left w:val="single" w:sz="4" w:space="0" w:color="auto"/>
              <w:bottom w:val="single" w:sz="4" w:space="0" w:color="auto"/>
              <w:right w:val="single" w:sz="4" w:space="0" w:color="auto"/>
            </w:tcBorders>
            <w:vAlign w:val="center"/>
            <w:hideMark/>
          </w:tcPr>
          <w:p w14:paraId="030757F5" w14:textId="637DEAF9" w:rsidR="00F56171" w:rsidRPr="00DE79CB" w:rsidRDefault="00657A2C" w:rsidP="00655670">
            <w:pPr>
              <w:spacing w:after="0" w:line="240" w:lineRule="auto"/>
              <w:rPr>
                <w:rFonts w:ascii="Verdana" w:eastAsia="Verdana" w:hAnsi="Verdana" w:cs="Verdana"/>
                <w:color w:val="000000" w:themeColor="text1"/>
                <w:sz w:val="18"/>
                <w:szCs w:val="18"/>
                <w:lang w:val="en-US"/>
              </w:rPr>
            </w:pPr>
            <w:r w:rsidRPr="00DE79CB">
              <w:rPr>
                <w:rFonts w:ascii="Verdana" w:eastAsia="Verdana" w:hAnsi="Verdana" w:cs="Verdana"/>
                <w:color w:val="000000"/>
                <w:sz w:val="18"/>
                <w:szCs w:val="18"/>
                <w:lang w:val="en-GB"/>
              </w:rPr>
              <w:t>Focus p</w:t>
            </w:r>
            <w:r w:rsidR="00AA0F2E" w:rsidRPr="00DE79CB">
              <w:rPr>
                <w:rFonts w:ascii="Verdana" w:eastAsia="Verdana" w:hAnsi="Verdana" w:cs="Verdana"/>
                <w:color w:val="000000"/>
                <w:sz w:val="18"/>
                <w:szCs w:val="18"/>
                <w:lang w:val="en-GB"/>
              </w:rPr>
              <w:t xml:space="preserve">olicy principles </w:t>
            </w:r>
          </w:p>
        </w:tc>
        <w:tc>
          <w:tcPr>
            <w:tcW w:w="2126" w:type="dxa"/>
            <w:tcBorders>
              <w:top w:val="nil"/>
              <w:left w:val="nil"/>
              <w:bottom w:val="single" w:sz="4" w:space="0" w:color="auto"/>
              <w:right w:val="single" w:sz="4" w:space="0" w:color="auto"/>
            </w:tcBorders>
            <w:vAlign w:val="center"/>
            <w:hideMark/>
          </w:tcPr>
          <w:p w14:paraId="4BC61105" w14:textId="795CED4C" w:rsidR="00F56171" w:rsidRPr="00DE79CB" w:rsidRDefault="00ED03CB" w:rsidP="00655670">
            <w:pPr>
              <w:spacing w:after="0" w:line="240" w:lineRule="auto"/>
              <w:jc w:val="center"/>
              <w:rPr>
                <w:rFonts w:ascii="Verdana" w:eastAsia="Verdana" w:hAnsi="Verdana" w:cs="Verdana"/>
                <w:color w:val="000000" w:themeColor="text1"/>
                <w:sz w:val="18"/>
                <w:szCs w:val="18"/>
              </w:rPr>
            </w:pPr>
            <w:r w:rsidRPr="00DE79CB">
              <w:rPr>
                <w:rFonts w:ascii="Verdana" w:hAnsi="Verdana"/>
                <w:color w:val="000000"/>
                <w:sz w:val="18"/>
                <w:szCs w:val="18"/>
                <w:lang w:val="en-GB"/>
              </w:rPr>
              <w:t>1</w:t>
            </w:r>
            <w:r w:rsidR="00F56171" w:rsidRPr="00DE79CB">
              <w:rPr>
                <w:rFonts w:ascii="Verdana" w:hAnsi="Verdana"/>
                <w:color w:val="000000"/>
                <w:sz w:val="18"/>
                <w:szCs w:val="18"/>
                <w:lang w:val="en-GB"/>
              </w:rPr>
              <w:t>0</w:t>
            </w:r>
          </w:p>
        </w:tc>
        <w:tc>
          <w:tcPr>
            <w:tcW w:w="2694" w:type="dxa"/>
            <w:tcBorders>
              <w:top w:val="nil"/>
              <w:left w:val="nil"/>
              <w:bottom w:val="single" w:sz="4" w:space="0" w:color="auto"/>
              <w:right w:val="single" w:sz="4" w:space="0" w:color="auto"/>
            </w:tcBorders>
            <w:vAlign w:val="center"/>
            <w:hideMark/>
          </w:tcPr>
          <w:p w14:paraId="0887BD72" w14:textId="1F91A528" w:rsidR="00F56171" w:rsidRPr="00DE79CB" w:rsidRDefault="00ED03CB" w:rsidP="00655670">
            <w:pPr>
              <w:spacing w:after="0" w:line="240" w:lineRule="auto"/>
              <w:jc w:val="center"/>
              <w:rPr>
                <w:rFonts w:ascii="Verdana" w:eastAsia="Verdana" w:hAnsi="Verdana" w:cs="Verdana"/>
                <w:color w:val="000000" w:themeColor="text1"/>
                <w:sz w:val="18"/>
                <w:szCs w:val="18"/>
              </w:rPr>
            </w:pPr>
            <w:r w:rsidRPr="00DE79CB">
              <w:rPr>
                <w:rFonts w:ascii="Verdana" w:eastAsia="Verdana" w:hAnsi="Verdana" w:cs="Verdana"/>
                <w:color w:val="000000"/>
                <w:sz w:val="18"/>
                <w:szCs w:val="18"/>
                <w:lang w:val="en-GB"/>
              </w:rPr>
              <w:t>7</w:t>
            </w:r>
          </w:p>
        </w:tc>
      </w:tr>
      <w:tr w:rsidR="00561DCA" w:rsidRPr="00DE79CB" w14:paraId="50E25F53" w14:textId="77777777" w:rsidTr="004B4B39">
        <w:trPr>
          <w:trHeight w:val="223"/>
        </w:trPr>
        <w:tc>
          <w:tcPr>
            <w:tcW w:w="3539" w:type="dxa"/>
            <w:tcBorders>
              <w:top w:val="nil"/>
              <w:left w:val="single" w:sz="4" w:space="0" w:color="auto"/>
              <w:bottom w:val="single" w:sz="4" w:space="0" w:color="auto"/>
              <w:right w:val="single" w:sz="4" w:space="0" w:color="auto"/>
            </w:tcBorders>
            <w:vAlign w:val="center"/>
            <w:hideMark/>
          </w:tcPr>
          <w:p w14:paraId="4D0F2686" w14:textId="77777777" w:rsidR="00561DCA" w:rsidRPr="00DE79CB" w:rsidRDefault="00561DCA" w:rsidP="00655670">
            <w:pPr>
              <w:spacing w:after="0" w:line="240" w:lineRule="auto"/>
              <w:rPr>
                <w:rFonts w:ascii="Verdana" w:eastAsia="Verdana" w:hAnsi="Verdana" w:cs="Verdana"/>
                <w:color w:val="000000" w:themeColor="text1"/>
                <w:sz w:val="18"/>
                <w:szCs w:val="18"/>
              </w:rPr>
            </w:pPr>
            <w:r w:rsidRPr="00DE79CB">
              <w:rPr>
                <w:rFonts w:ascii="Verdana" w:eastAsia="Verdana" w:hAnsi="Verdana" w:cs="Verdana"/>
                <w:color w:val="000000"/>
                <w:sz w:val="18"/>
                <w:szCs w:val="18"/>
                <w:lang w:val="en-GB"/>
              </w:rPr>
              <w:t>Total</w:t>
            </w:r>
          </w:p>
        </w:tc>
        <w:tc>
          <w:tcPr>
            <w:tcW w:w="2126" w:type="dxa"/>
            <w:tcBorders>
              <w:top w:val="nil"/>
              <w:left w:val="nil"/>
              <w:bottom w:val="single" w:sz="4" w:space="0" w:color="auto"/>
              <w:right w:val="single" w:sz="4" w:space="0" w:color="auto"/>
            </w:tcBorders>
            <w:vAlign w:val="center"/>
            <w:hideMark/>
          </w:tcPr>
          <w:p w14:paraId="5945D060" w14:textId="28246237" w:rsidR="00561DCA" w:rsidRPr="00DE79CB" w:rsidRDefault="00561DCA" w:rsidP="00655670">
            <w:pPr>
              <w:spacing w:after="0" w:line="240" w:lineRule="auto"/>
              <w:jc w:val="center"/>
              <w:rPr>
                <w:rFonts w:ascii="Verdana" w:eastAsia="Verdana" w:hAnsi="Verdana" w:cs="Verdana"/>
                <w:color w:val="000000" w:themeColor="text1"/>
                <w:sz w:val="18"/>
                <w:szCs w:val="18"/>
              </w:rPr>
            </w:pPr>
            <w:r w:rsidRPr="00DE79CB">
              <w:rPr>
                <w:rFonts w:ascii="Verdana" w:eastAsia="Verdana" w:hAnsi="Verdana" w:cs="Verdana"/>
                <w:color w:val="000000"/>
                <w:sz w:val="18"/>
                <w:szCs w:val="18"/>
                <w:lang w:val="en-GB"/>
              </w:rPr>
              <w:t>100</w:t>
            </w:r>
          </w:p>
        </w:tc>
        <w:tc>
          <w:tcPr>
            <w:tcW w:w="2694" w:type="dxa"/>
            <w:tcBorders>
              <w:top w:val="nil"/>
              <w:left w:val="nil"/>
              <w:bottom w:val="single" w:sz="4" w:space="0" w:color="auto"/>
              <w:right w:val="single" w:sz="4" w:space="0" w:color="auto"/>
            </w:tcBorders>
            <w:vAlign w:val="center"/>
            <w:hideMark/>
          </w:tcPr>
          <w:p w14:paraId="6657C9B7" w14:textId="74902410" w:rsidR="00561DCA" w:rsidRPr="00DE79CB" w:rsidRDefault="00561DCA" w:rsidP="00655670">
            <w:pPr>
              <w:spacing w:after="0" w:line="240" w:lineRule="auto"/>
              <w:jc w:val="center"/>
              <w:rPr>
                <w:rFonts w:ascii="Verdana" w:eastAsia="Verdana" w:hAnsi="Verdana" w:cs="Verdana"/>
                <w:color w:val="000000" w:themeColor="text1"/>
                <w:sz w:val="18"/>
                <w:szCs w:val="18"/>
              </w:rPr>
            </w:pPr>
            <w:r w:rsidRPr="00DE79CB">
              <w:rPr>
                <w:rFonts w:ascii="Verdana" w:eastAsia="Verdana" w:hAnsi="Verdana" w:cs="Verdana"/>
                <w:color w:val="000000"/>
                <w:sz w:val="18"/>
                <w:szCs w:val="18"/>
                <w:lang w:val="en-GB"/>
              </w:rPr>
              <w:t>70</w:t>
            </w:r>
          </w:p>
        </w:tc>
      </w:tr>
    </w:tbl>
    <w:p w14:paraId="2D6352C4" w14:textId="77777777" w:rsidR="00561DCA" w:rsidRPr="00DE79CB" w:rsidRDefault="00561DCA" w:rsidP="00655670">
      <w:pPr>
        <w:spacing w:after="0" w:line="240" w:lineRule="auto"/>
        <w:rPr>
          <w:rFonts w:ascii="Verdana" w:eastAsia="Verdana" w:hAnsi="Verdana" w:cs="Verdana"/>
          <w:sz w:val="18"/>
          <w:szCs w:val="18"/>
        </w:rPr>
      </w:pPr>
    </w:p>
    <w:p w14:paraId="3437266C" w14:textId="3D4A2C95" w:rsidR="00126A23" w:rsidRPr="00DE79CB" w:rsidRDefault="00126A23" w:rsidP="00655670">
      <w:pPr>
        <w:spacing w:after="0" w:line="240" w:lineRule="auto"/>
        <w:rPr>
          <w:rFonts w:ascii="Verdana" w:hAnsi="Verdana"/>
          <w:sz w:val="18"/>
          <w:szCs w:val="18"/>
          <w:lang w:val="en-US"/>
        </w:rPr>
      </w:pPr>
      <w:r w:rsidRPr="00DE79CB">
        <w:rPr>
          <w:rFonts w:ascii="Verdana" w:hAnsi="Verdana"/>
          <w:sz w:val="18"/>
          <w:szCs w:val="18"/>
          <w:lang w:val="en-GB"/>
        </w:rPr>
        <w:t>Funds are allocated through a grant tender, i.e. on the basis of quality. The quality of applications is assessed using the qualitative criteria set out in section 7.2. The results of this assessment produce a quality ranking of applications. Applications that do not meet the minimum standard are not included in the ranking.</w:t>
      </w:r>
    </w:p>
    <w:p w14:paraId="3369E56A" w14:textId="77777777" w:rsidR="000703AD" w:rsidRPr="00DE79CB" w:rsidRDefault="000703AD" w:rsidP="00655670">
      <w:pPr>
        <w:spacing w:after="0" w:line="240" w:lineRule="auto"/>
        <w:rPr>
          <w:rFonts w:ascii="Verdana" w:hAnsi="Verdana"/>
          <w:sz w:val="18"/>
          <w:szCs w:val="18"/>
          <w:lang w:val="en-US"/>
        </w:rPr>
      </w:pPr>
    </w:p>
    <w:p w14:paraId="5C613D19" w14:textId="19E77C08" w:rsidR="00FA5439" w:rsidRPr="00DE79CB" w:rsidRDefault="00126A23" w:rsidP="00655670">
      <w:pPr>
        <w:spacing w:after="0" w:line="240" w:lineRule="auto"/>
        <w:rPr>
          <w:rFonts w:ascii="Verdana" w:eastAsia="Verdana" w:hAnsi="Verdana" w:cs="Verdana"/>
          <w:sz w:val="18"/>
          <w:szCs w:val="18"/>
          <w:lang w:val="en-US"/>
        </w:rPr>
      </w:pPr>
      <w:r w:rsidRPr="00DE79CB">
        <w:rPr>
          <w:rFonts w:ascii="Verdana" w:hAnsi="Verdana"/>
          <w:sz w:val="18"/>
          <w:szCs w:val="18"/>
          <w:lang w:val="en-GB"/>
        </w:rPr>
        <w:t>For reasons of efficiency and balanced distribution, no more than one grant application will be considered per primary value chain for each target country in appendix 1 to these policy rules. Where multiple applications relate to the same primary value chain in the same target country, as specified on the application form, only the highest ranked application will be eligible for funding. If two or more applications relating to the same primary value chain in the same target country achieve an equal highest score in the ranking, the final ranking will be determined by lottery.</w:t>
      </w:r>
    </w:p>
    <w:p w14:paraId="71F1A444" w14:textId="77777777" w:rsidR="00126A23" w:rsidRPr="00DE79CB" w:rsidRDefault="00126A23" w:rsidP="00655670">
      <w:pPr>
        <w:spacing w:after="0" w:line="240" w:lineRule="auto"/>
        <w:rPr>
          <w:rFonts w:ascii="Verdana" w:eastAsia="Verdana" w:hAnsi="Verdana" w:cs="Verdana"/>
          <w:sz w:val="18"/>
          <w:szCs w:val="18"/>
          <w:lang w:val="en-US"/>
        </w:rPr>
      </w:pPr>
    </w:p>
    <w:p w14:paraId="5AC4136B" w14:textId="5EEA7EF3" w:rsidR="004B781B" w:rsidRPr="00DE79CB" w:rsidRDefault="002B57D0"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Where awarding grants to two or more applications with an equal score would result in exceeding the grant ceiling, a lottery will be used to determine which application or applications are awarded funding until the grant ceiling is exhausted.</w:t>
      </w:r>
    </w:p>
    <w:p w14:paraId="2F29C67D" w14:textId="77777777" w:rsidR="004B781B" w:rsidRPr="00DE79CB" w:rsidRDefault="004B781B" w:rsidP="00655670">
      <w:pPr>
        <w:spacing w:after="0" w:line="240" w:lineRule="auto"/>
        <w:rPr>
          <w:rFonts w:ascii="Verdana" w:eastAsia="Verdana" w:hAnsi="Verdana" w:cs="Verdana"/>
          <w:i/>
          <w:iCs/>
          <w:sz w:val="18"/>
          <w:szCs w:val="18"/>
          <w:lang w:val="en-US"/>
        </w:rPr>
      </w:pPr>
    </w:p>
    <w:p w14:paraId="6EA22233" w14:textId="3B046CFF" w:rsidR="00CE770D" w:rsidRPr="00DE79CB" w:rsidRDefault="6E2AA1E3" w:rsidP="00CE770D">
      <w:pPr>
        <w:spacing w:after="0"/>
        <w:rPr>
          <w:rFonts w:ascii="Verdana" w:hAnsi="Verdana"/>
          <w:sz w:val="18"/>
          <w:szCs w:val="18"/>
          <w:lang w:val="en-US"/>
        </w:rPr>
      </w:pPr>
      <w:r w:rsidRPr="00DE79CB">
        <w:rPr>
          <w:rFonts w:ascii="Verdana" w:hAnsi="Verdana"/>
          <w:i/>
          <w:iCs/>
          <w:sz w:val="18"/>
          <w:szCs w:val="18"/>
          <w:lang w:val="en-GB"/>
        </w:rPr>
        <w:t>7.2 Criteria</w:t>
      </w:r>
      <w:r w:rsidRPr="00DE79CB">
        <w:rPr>
          <w:rFonts w:ascii="Verdana" w:hAnsi="Verdana"/>
          <w:sz w:val="18"/>
          <w:szCs w:val="18"/>
          <w:lang w:val="en-GB"/>
        </w:rPr>
        <w:br/>
        <w:t>The following criteria apply in the qualitative assessment of grant applications</w:t>
      </w:r>
      <w:r w:rsidR="00CE770D" w:rsidRPr="00DE79CB">
        <w:rPr>
          <w:rFonts w:ascii="Verdana" w:hAnsi="Verdana"/>
          <w:sz w:val="18"/>
          <w:szCs w:val="18"/>
          <w:lang w:val="en-GB"/>
        </w:rPr>
        <w:t xml:space="preserve">, </w:t>
      </w:r>
      <w:r w:rsidR="00CE770D" w:rsidRPr="00DE79CB">
        <w:rPr>
          <w:rFonts w:ascii="Verdana" w:hAnsi="Verdana"/>
          <w:sz w:val="18"/>
          <w:szCs w:val="18"/>
          <w:lang w:val="en-US"/>
        </w:rPr>
        <w:t>where the allocation of points depends on the extent to which the (sub)criteria are met.</w:t>
      </w:r>
    </w:p>
    <w:p w14:paraId="70B08259" w14:textId="5DD06B67" w:rsidR="004B781B" w:rsidRPr="00DE79CB" w:rsidRDefault="004B781B" w:rsidP="00655670">
      <w:pPr>
        <w:spacing w:after="0" w:line="240" w:lineRule="auto"/>
        <w:rPr>
          <w:rFonts w:ascii="Verdana" w:eastAsia="Verdana" w:hAnsi="Verdana" w:cs="Verdana"/>
          <w:sz w:val="18"/>
          <w:szCs w:val="18"/>
          <w:lang w:val="en-US"/>
        </w:rPr>
      </w:pPr>
      <w:bookmarkStart w:id="17" w:name="_Hlk161145718"/>
    </w:p>
    <w:p w14:paraId="3E858179" w14:textId="77777777" w:rsidR="004B781B" w:rsidRPr="00DE79CB" w:rsidRDefault="004B781B" w:rsidP="00655670">
      <w:pPr>
        <w:pStyle w:val="al"/>
        <w:shd w:val="clear" w:color="auto" w:fill="FFFFFF" w:themeFill="background1"/>
        <w:spacing w:before="0" w:beforeAutospacing="0" w:after="0" w:afterAutospacing="0"/>
        <w:rPr>
          <w:rFonts w:ascii="Verdana" w:eastAsia="Verdana" w:hAnsi="Verdana" w:cs="Verdana"/>
          <w:i/>
          <w:iCs/>
          <w:sz w:val="18"/>
          <w:szCs w:val="18"/>
          <w:lang w:val="en-US"/>
        </w:rPr>
      </w:pPr>
    </w:p>
    <w:p w14:paraId="61B5FBFF" w14:textId="0C82A2C1" w:rsidR="00DB3E1E" w:rsidRPr="00DE79CB" w:rsidRDefault="00DB3E1E" w:rsidP="00655670">
      <w:pPr>
        <w:spacing w:after="0" w:line="240" w:lineRule="auto"/>
        <w:rPr>
          <w:rFonts w:ascii="Verdana" w:eastAsia="Verdana" w:hAnsi="Verdana" w:cs="Verdana"/>
          <w:b/>
          <w:i/>
          <w:sz w:val="18"/>
          <w:szCs w:val="18"/>
          <w:lang w:val="en-US"/>
        </w:rPr>
      </w:pPr>
      <w:bookmarkStart w:id="18" w:name="_Hlk212062667"/>
      <w:bookmarkEnd w:id="17"/>
      <w:r w:rsidRPr="00DE79CB">
        <w:rPr>
          <w:rFonts w:ascii="Verdana" w:eastAsia="Verdana" w:hAnsi="Verdana" w:cs="Verdana"/>
          <w:i/>
          <w:iCs/>
          <w:sz w:val="18"/>
          <w:szCs w:val="18"/>
          <w:lang w:val="en-GB"/>
        </w:rPr>
        <w:t>7.2.1 Track record (minimum 35, maximum 50 points)</w:t>
      </w:r>
    </w:p>
    <w:p w14:paraId="1D916278" w14:textId="6B0CFDCB" w:rsidR="00DB3E1E" w:rsidRPr="00DE79CB" w:rsidRDefault="00DB3E1E" w:rsidP="00655670">
      <w:pPr>
        <w:pStyle w:val="Lijstalinea"/>
        <w:numPr>
          <w:ilvl w:val="0"/>
          <w:numId w:val="14"/>
        </w:numPr>
        <w:spacing w:after="0" w:line="240" w:lineRule="auto"/>
        <w:rPr>
          <w:rFonts w:ascii="Verdana" w:hAnsi="Verdana"/>
          <w:sz w:val="18"/>
          <w:szCs w:val="18"/>
          <w:lang w:val="en-US"/>
        </w:rPr>
      </w:pPr>
      <w:bookmarkStart w:id="19" w:name="_Hlk213269350"/>
      <w:r w:rsidRPr="00DE79CB">
        <w:rPr>
          <w:rFonts w:ascii="Verdana" w:hAnsi="Verdana"/>
          <w:sz w:val="18"/>
          <w:szCs w:val="18"/>
          <w:lang w:val="en-GB"/>
        </w:rPr>
        <w:t xml:space="preserve">Experience in programming on </w:t>
      </w:r>
      <w:r w:rsidR="00487EC6" w:rsidRPr="00DE79CB">
        <w:rPr>
          <w:rFonts w:ascii="Verdana" w:hAnsi="Verdana"/>
          <w:sz w:val="18"/>
          <w:szCs w:val="18"/>
          <w:lang w:val="en-GB"/>
        </w:rPr>
        <w:t xml:space="preserve">sustainable </w:t>
      </w:r>
      <w:r w:rsidRPr="00DE79CB">
        <w:rPr>
          <w:rFonts w:ascii="Verdana" w:hAnsi="Verdana"/>
          <w:sz w:val="18"/>
          <w:szCs w:val="18"/>
          <w:lang w:val="en-GB"/>
        </w:rPr>
        <w:t xml:space="preserve">and fair trade: The extent to which the applicant has a proven track record in successfully designing and implementing projects of comparable scale aimed at promoting </w:t>
      </w:r>
      <w:r w:rsidR="00487EC6" w:rsidRPr="00DE79CB">
        <w:rPr>
          <w:rFonts w:ascii="Verdana" w:hAnsi="Verdana"/>
          <w:sz w:val="18"/>
          <w:szCs w:val="18"/>
          <w:lang w:val="en-GB"/>
        </w:rPr>
        <w:t xml:space="preserve">sustainable </w:t>
      </w:r>
      <w:r w:rsidRPr="00DE79CB">
        <w:rPr>
          <w:rFonts w:ascii="Verdana" w:hAnsi="Verdana"/>
          <w:sz w:val="18"/>
          <w:szCs w:val="18"/>
          <w:lang w:val="en-GB"/>
        </w:rPr>
        <w:t xml:space="preserve">and fair trade in the target countries and primary value chain selected by the applicant, applying the People, Planet, Profit principle. </w:t>
      </w:r>
      <w:bookmarkEnd w:id="19"/>
    </w:p>
    <w:p w14:paraId="6D7B6098" w14:textId="03903C9A" w:rsidR="00DB3E1E" w:rsidRPr="00DE79CB" w:rsidRDefault="000E7600" w:rsidP="00655670">
      <w:pPr>
        <w:pStyle w:val="Lijstalinea"/>
        <w:numPr>
          <w:ilvl w:val="0"/>
          <w:numId w:val="14"/>
        </w:numPr>
        <w:spacing w:after="0" w:line="240" w:lineRule="auto"/>
        <w:rPr>
          <w:rFonts w:ascii="Verdana" w:hAnsi="Verdana"/>
          <w:sz w:val="18"/>
          <w:szCs w:val="18"/>
          <w:lang w:val="en-US"/>
        </w:rPr>
      </w:pPr>
      <w:r w:rsidRPr="00DE79CB">
        <w:rPr>
          <w:rFonts w:ascii="Verdana" w:hAnsi="Verdana"/>
          <w:sz w:val="18"/>
          <w:szCs w:val="18"/>
          <w:lang w:val="en-GB"/>
        </w:rPr>
        <w:t>Experience</w:t>
      </w:r>
      <w:r w:rsidR="00DB3E1E" w:rsidRPr="00DE79CB">
        <w:rPr>
          <w:rFonts w:ascii="Verdana" w:hAnsi="Verdana"/>
          <w:sz w:val="18"/>
          <w:szCs w:val="18"/>
          <w:lang w:val="en-GB"/>
        </w:rPr>
        <w:t xml:space="preserve"> in cooperation with Dutch enterprises in the selected primary value chain: The extent to which the applicant has demonstrable experience in cooperating with </w:t>
      </w:r>
      <w:r w:rsidRPr="00DE79CB">
        <w:rPr>
          <w:rFonts w:ascii="Verdana" w:hAnsi="Verdana"/>
          <w:sz w:val="18"/>
          <w:szCs w:val="18"/>
          <w:lang w:val="en-GB"/>
        </w:rPr>
        <w:t xml:space="preserve">the </w:t>
      </w:r>
      <w:r w:rsidR="00DB3E1E" w:rsidRPr="00DE79CB">
        <w:rPr>
          <w:rFonts w:ascii="Verdana" w:hAnsi="Verdana"/>
          <w:sz w:val="18"/>
          <w:szCs w:val="18"/>
          <w:lang w:val="en-GB"/>
        </w:rPr>
        <w:t xml:space="preserve">Dutch stakeholders in the relevant primary value chain, e.g. as part of multi-stakeholder initiatives. </w:t>
      </w:r>
    </w:p>
    <w:p w14:paraId="767504E3" w14:textId="275A547E" w:rsidR="00C935BA" w:rsidRPr="00DE79CB" w:rsidRDefault="005273E3" w:rsidP="00655670">
      <w:pPr>
        <w:pStyle w:val="Lijstalinea"/>
        <w:numPr>
          <w:ilvl w:val="0"/>
          <w:numId w:val="14"/>
        </w:numPr>
        <w:spacing w:after="0" w:line="240" w:lineRule="auto"/>
        <w:rPr>
          <w:rFonts w:ascii="Verdana" w:hAnsi="Verdana"/>
          <w:sz w:val="18"/>
          <w:szCs w:val="18"/>
          <w:lang w:val="en-US"/>
        </w:rPr>
      </w:pPr>
      <w:r w:rsidRPr="00DE79CB">
        <w:rPr>
          <w:rFonts w:ascii="Verdana" w:hAnsi="Verdana"/>
          <w:sz w:val="18"/>
          <w:szCs w:val="18"/>
          <w:lang w:val="en-GB"/>
        </w:rPr>
        <w:t xml:space="preserve">Relevant network </w:t>
      </w:r>
      <w:r w:rsidR="000E7600" w:rsidRPr="00DE79CB">
        <w:rPr>
          <w:rFonts w:ascii="Verdana" w:hAnsi="Verdana"/>
          <w:sz w:val="18"/>
          <w:szCs w:val="18"/>
          <w:lang w:val="en-GB"/>
        </w:rPr>
        <w:t xml:space="preserve">in </w:t>
      </w:r>
      <w:r w:rsidRPr="00DE79CB">
        <w:rPr>
          <w:rFonts w:ascii="Verdana" w:hAnsi="Verdana"/>
          <w:sz w:val="18"/>
          <w:szCs w:val="18"/>
          <w:lang w:val="en-GB"/>
        </w:rPr>
        <w:t>and knowledge of the selected primary value chain: The extent to which the applicant has a relevant and diverse network in the selected primary value chain, anchored both in the local context and in the Netherlands.</w:t>
      </w:r>
    </w:p>
    <w:p w14:paraId="388074BA" w14:textId="276470F7" w:rsidR="00E441E6" w:rsidRPr="00DE79CB" w:rsidRDefault="00E441E6" w:rsidP="00655670">
      <w:pPr>
        <w:pStyle w:val="Lijstalinea"/>
        <w:numPr>
          <w:ilvl w:val="0"/>
          <w:numId w:val="14"/>
        </w:numPr>
        <w:spacing w:after="0" w:line="240" w:lineRule="auto"/>
        <w:rPr>
          <w:rFonts w:ascii="Verdana" w:hAnsi="Verdana"/>
          <w:sz w:val="18"/>
          <w:szCs w:val="18"/>
          <w:lang w:val="en-US"/>
        </w:rPr>
      </w:pPr>
      <w:r w:rsidRPr="00DE79CB">
        <w:rPr>
          <w:rFonts w:ascii="Verdana" w:hAnsi="Verdana"/>
          <w:sz w:val="18"/>
          <w:szCs w:val="18"/>
          <w:lang w:val="en-US"/>
        </w:rPr>
        <w:t>Experience with financial support: The extent to which the applicant has demonstrable experience in establishing and managing systems for providing and accounting for partner funding, in a manner that allows for transparency, mutual trust, and an appropriate degree of responsibility on the part of those partners.</w:t>
      </w:r>
    </w:p>
    <w:p w14:paraId="715F17AC" w14:textId="60CCE142" w:rsidR="00DB3E1E" w:rsidRPr="00DE79CB" w:rsidRDefault="00DB3E1E" w:rsidP="00655670">
      <w:pPr>
        <w:pStyle w:val="Lijstalinea"/>
        <w:numPr>
          <w:ilvl w:val="0"/>
          <w:numId w:val="14"/>
        </w:numPr>
        <w:spacing w:after="0" w:line="240" w:lineRule="auto"/>
        <w:rPr>
          <w:rFonts w:ascii="Verdana" w:hAnsi="Verdana"/>
          <w:sz w:val="18"/>
          <w:szCs w:val="18"/>
          <w:lang w:val="en-US"/>
        </w:rPr>
      </w:pPr>
      <w:r w:rsidRPr="00DE79CB">
        <w:rPr>
          <w:rFonts w:ascii="Verdana" w:eastAsia="Verdana" w:hAnsi="Verdana" w:cs="Verdana"/>
          <w:sz w:val="18"/>
          <w:szCs w:val="18"/>
          <w:lang w:val="en-GB"/>
        </w:rPr>
        <w:t>Capacity-building experience: The degree to which the applicant has demonstrable experience in capacity-</w:t>
      </w:r>
      <w:r w:rsidR="000E7600" w:rsidRPr="00DE79CB">
        <w:rPr>
          <w:rFonts w:ascii="Verdana" w:eastAsia="Verdana" w:hAnsi="Verdana" w:cs="Verdana"/>
          <w:sz w:val="18"/>
          <w:szCs w:val="18"/>
          <w:lang w:val="en-GB"/>
        </w:rPr>
        <w:t>strengthening</w:t>
      </w:r>
      <w:r w:rsidRPr="00DE79CB">
        <w:rPr>
          <w:rFonts w:ascii="Verdana" w:eastAsia="Verdana" w:hAnsi="Verdana" w:cs="Verdana"/>
          <w:sz w:val="18"/>
          <w:szCs w:val="18"/>
          <w:lang w:val="en-GB"/>
        </w:rPr>
        <w:t xml:space="preserve"> of </w:t>
      </w:r>
      <w:r w:rsidR="000E7600" w:rsidRPr="00DE79CB">
        <w:rPr>
          <w:rFonts w:ascii="Verdana" w:eastAsia="Verdana" w:hAnsi="Verdana" w:cs="Verdana"/>
          <w:sz w:val="18"/>
          <w:szCs w:val="18"/>
          <w:lang w:val="en-GB"/>
        </w:rPr>
        <w:t>in-country partners</w:t>
      </w:r>
      <w:r w:rsidRPr="00DE79CB">
        <w:rPr>
          <w:rFonts w:ascii="Verdana" w:eastAsia="Verdana" w:hAnsi="Verdana" w:cs="Verdana"/>
          <w:sz w:val="18"/>
          <w:szCs w:val="18"/>
          <w:lang w:val="en-GB"/>
        </w:rPr>
        <w:t xml:space="preserve">, tailored to their needs and implemented using internal or external expertise, effecting positive change. </w:t>
      </w:r>
    </w:p>
    <w:p w14:paraId="2F544D14" w14:textId="77777777" w:rsidR="00116F3D" w:rsidRPr="00DE79CB" w:rsidRDefault="00116F3D" w:rsidP="00655670">
      <w:pPr>
        <w:pStyle w:val="Lijstalinea"/>
        <w:spacing w:after="0" w:line="240" w:lineRule="auto"/>
        <w:ind w:left="360"/>
        <w:rPr>
          <w:rFonts w:ascii="Verdana" w:hAnsi="Verdana"/>
          <w:sz w:val="18"/>
          <w:szCs w:val="18"/>
          <w:lang w:val="en-US"/>
        </w:rPr>
      </w:pPr>
    </w:p>
    <w:bookmarkEnd w:id="18"/>
    <w:p w14:paraId="681C189E" w14:textId="79B67AA0" w:rsidR="00DB3E1E" w:rsidRPr="00DE79CB" w:rsidRDefault="6E2AA1E3" w:rsidP="00655670">
      <w:pPr>
        <w:pStyle w:val="al"/>
        <w:numPr>
          <w:ilvl w:val="2"/>
          <w:numId w:val="18"/>
        </w:numPr>
        <w:shd w:val="clear" w:color="auto" w:fill="FFFFFF" w:themeFill="background1"/>
        <w:spacing w:before="0" w:beforeAutospacing="0" w:after="0" w:afterAutospacing="0"/>
        <w:ind w:left="567" w:hanging="567"/>
        <w:rPr>
          <w:rFonts w:ascii="Verdana" w:eastAsia="Verdana" w:hAnsi="Verdana" w:cs="Verdana"/>
          <w:i/>
          <w:sz w:val="18"/>
          <w:szCs w:val="18"/>
          <w:lang w:val="en-US"/>
        </w:rPr>
      </w:pPr>
      <w:r w:rsidRPr="00DE79CB">
        <w:rPr>
          <w:rFonts w:ascii="Verdana" w:eastAsia="Verdana" w:hAnsi="Verdana" w:cs="Verdana"/>
          <w:i/>
          <w:iCs/>
          <w:color w:val="333333"/>
          <w:sz w:val="18"/>
          <w:szCs w:val="18"/>
          <w:lang w:val="en-GB"/>
        </w:rPr>
        <w:t xml:space="preserve">Intervention strategy including budget </w:t>
      </w:r>
      <w:r w:rsidRPr="00DE79CB">
        <w:rPr>
          <w:rFonts w:ascii="Verdana" w:eastAsia="Verdana" w:hAnsi="Verdana" w:cs="Verdana"/>
          <w:i/>
          <w:iCs/>
          <w:sz w:val="18"/>
          <w:szCs w:val="18"/>
          <w:lang w:val="en-GB"/>
        </w:rPr>
        <w:t>(minimum 2</w:t>
      </w:r>
      <w:r w:rsidR="00657A2C" w:rsidRPr="00DE79CB">
        <w:rPr>
          <w:rFonts w:ascii="Verdana" w:eastAsia="Verdana" w:hAnsi="Verdana" w:cs="Verdana"/>
          <w:i/>
          <w:iCs/>
          <w:sz w:val="18"/>
          <w:szCs w:val="18"/>
          <w:lang w:val="en-GB"/>
        </w:rPr>
        <w:t>8</w:t>
      </w:r>
      <w:r w:rsidRPr="00DE79CB">
        <w:rPr>
          <w:rFonts w:ascii="Verdana" w:eastAsia="Verdana" w:hAnsi="Verdana" w:cs="Verdana"/>
          <w:i/>
          <w:iCs/>
          <w:sz w:val="18"/>
          <w:szCs w:val="18"/>
          <w:lang w:val="en-GB"/>
        </w:rPr>
        <w:t xml:space="preserve">, maximum </w:t>
      </w:r>
      <w:r w:rsidR="00657A2C" w:rsidRPr="00DE79CB">
        <w:rPr>
          <w:rFonts w:ascii="Verdana" w:eastAsia="Verdana" w:hAnsi="Verdana" w:cs="Verdana"/>
          <w:i/>
          <w:iCs/>
          <w:sz w:val="18"/>
          <w:szCs w:val="18"/>
          <w:lang w:val="en-GB"/>
        </w:rPr>
        <w:t>4</w:t>
      </w:r>
      <w:r w:rsidRPr="00DE79CB">
        <w:rPr>
          <w:rFonts w:ascii="Verdana" w:eastAsia="Verdana" w:hAnsi="Verdana" w:cs="Verdana"/>
          <w:i/>
          <w:iCs/>
          <w:sz w:val="18"/>
          <w:szCs w:val="18"/>
          <w:lang w:val="en-GB"/>
        </w:rPr>
        <w:t>0 points)</w:t>
      </w:r>
    </w:p>
    <w:p w14:paraId="728D9F8D" w14:textId="2136A692" w:rsidR="00CF609B" w:rsidRPr="00DE79CB" w:rsidRDefault="009824DE" w:rsidP="00655670">
      <w:pPr>
        <w:pStyle w:val="Lijstalinea"/>
        <w:numPr>
          <w:ilvl w:val="0"/>
          <w:numId w:val="17"/>
        </w:numPr>
        <w:spacing w:after="0" w:line="240" w:lineRule="auto"/>
        <w:ind w:left="357" w:hanging="357"/>
        <w:rPr>
          <w:rFonts w:ascii="Verdana" w:hAnsi="Verdana"/>
          <w:sz w:val="18"/>
          <w:szCs w:val="18"/>
          <w:lang w:val="en-US"/>
        </w:rPr>
      </w:pPr>
      <w:r w:rsidRPr="00DE79CB">
        <w:rPr>
          <w:rFonts w:ascii="Verdana" w:hAnsi="Verdana"/>
          <w:sz w:val="18"/>
          <w:szCs w:val="18"/>
          <w:lang w:val="en-GB"/>
        </w:rPr>
        <w:t>Logical proposal, sound analysis and alignment with local context and stakeholders: The degree to</w:t>
      </w:r>
      <w:r w:rsidR="000E7600" w:rsidRPr="00DE79CB">
        <w:rPr>
          <w:rFonts w:ascii="Verdana" w:hAnsi="Verdana"/>
          <w:sz w:val="18"/>
          <w:szCs w:val="18"/>
          <w:lang w:val="en-GB"/>
        </w:rPr>
        <w:t xml:space="preserve"> which</w:t>
      </w:r>
      <w:r w:rsidR="00C7086C" w:rsidRPr="00DE79CB">
        <w:rPr>
          <w:rFonts w:ascii="Verdana" w:hAnsi="Verdana"/>
          <w:sz w:val="18"/>
          <w:szCs w:val="18"/>
          <w:lang w:val="en-GB"/>
        </w:rPr>
        <w:t>:</w:t>
      </w:r>
    </w:p>
    <w:p w14:paraId="11B1A1EE" w14:textId="6043F5FD" w:rsidR="007A0AAB" w:rsidRPr="00DE79CB" w:rsidRDefault="00320D9E" w:rsidP="00655670">
      <w:pPr>
        <w:pStyle w:val="Lijstalinea"/>
        <w:numPr>
          <w:ilvl w:val="0"/>
          <w:numId w:val="16"/>
        </w:numPr>
        <w:spacing w:after="0" w:line="240" w:lineRule="auto"/>
        <w:rPr>
          <w:rFonts w:ascii="Verdana" w:hAnsi="Verdana"/>
          <w:sz w:val="18"/>
          <w:szCs w:val="18"/>
          <w:lang w:val="en-US"/>
        </w:rPr>
      </w:pPr>
      <w:r w:rsidRPr="00DE79CB">
        <w:rPr>
          <w:rFonts w:ascii="Verdana" w:hAnsi="Verdana"/>
          <w:sz w:val="18"/>
          <w:szCs w:val="18"/>
          <w:lang w:val="en-GB"/>
        </w:rPr>
        <w:t>the project is based on sound and relevant context, stakeholder and problem analyses</w:t>
      </w:r>
      <w:r w:rsidR="00C7086C" w:rsidRPr="00DE79CB">
        <w:rPr>
          <w:rFonts w:ascii="Verdana" w:hAnsi="Verdana"/>
          <w:sz w:val="18"/>
          <w:szCs w:val="18"/>
          <w:lang w:val="en-GB"/>
        </w:rPr>
        <w:t>, with attention for unequal power</w:t>
      </w:r>
      <w:r w:rsidR="00E441E6" w:rsidRPr="00DE79CB">
        <w:rPr>
          <w:rFonts w:ascii="Verdana" w:hAnsi="Verdana"/>
          <w:sz w:val="18"/>
          <w:szCs w:val="18"/>
          <w:lang w:val="en-GB"/>
        </w:rPr>
        <w:t xml:space="preserve"> </w:t>
      </w:r>
      <w:r w:rsidR="00EE17BC" w:rsidRPr="00DE79CB">
        <w:rPr>
          <w:rFonts w:ascii="Verdana" w:hAnsi="Verdana"/>
          <w:sz w:val="18"/>
          <w:szCs w:val="18"/>
          <w:lang w:val="en-GB"/>
        </w:rPr>
        <w:t>imbalances</w:t>
      </w:r>
      <w:r w:rsidR="00C7086C" w:rsidRPr="00DE79CB">
        <w:rPr>
          <w:rFonts w:ascii="Verdana" w:hAnsi="Verdana"/>
          <w:sz w:val="18"/>
          <w:szCs w:val="18"/>
          <w:lang w:val="en-GB"/>
        </w:rPr>
        <w:t xml:space="preserve"> in the value chain</w:t>
      </w:r>
      <w:r w:rsidR="00E441E6" w:rsidRPr="00DE79CB">
        <w:rPr>
          <w:rFonts w:ascii="Verdana" w:hAnsi="Verdana"/>
          <w:sz w:val="18"/>
          <w:szCs w:val="18"/>
          <w:lang w:val="en-GB"/>
        </w:rPr>
        <w:t>(</w:t>
      </w:r>
      <w:r w:rsidR="00C7086C" w:rsidRPr="00DE79CB">
        <w:rPr>
          <w:rFonts w:ascii="Verdana" w:hAnsi="Verdana"/>
          <w:sz w:val="18"/>
          <w:szCs w:val="18"/>
          <w:lang w:val="en-GB"/>
        </w:rPr>
        <w:t>s</w:t>
      </w:r>
      <w:r w:rsidR="00E441E6" w:rsidRPr="00DE79CB">
        <w:rPr>
          <w:rFonts w:ascii="Verdana" w:hAnsi="Verdana"/>
          <w:sz w:val="18"/>
          <w:szCs w:val="18"/>
          <w:lang w:val="en-GB"/>
        </w:rPr>
        <w:t>)</w:t>
      </w:r>
      <w:r w:rsidR="00C7086C" w:rsidRPr="00DE79CB">
        <w:rPr>
          <w:rFonts w:ascii="Verdana" w:hAnsi="Verdana"/>
          <w:sz w:val="18"/>
          <w:szCs w:val="18"/>
          <w:lang w:val="en-GB"/>
        </w:rPr>
        <w:t>,</w:t>
      </w:r>
    </w:p>
    <w:p w14:paraId="70374DBF" w14:textId="7C539774" w:rsidR="00733E89" w:rsidRPr="00DE79CB" w:rsidRDefault="0003666A" w:rsidP="00655670">
      <w:pPr>
        <w:pStyle w:val="Lijstalinea"/>
        <w:numPr>
          <w:ilvl w:val="0"/>
          <w:numId w:val="16"/>
        </w:numPr>
        <w:spacing w:after="0" w:line="240" w:lineRule="auto"/>
        <w:rPr>
          <w:rFonts w:ascii="Verdana" w:hAnsi="Verdana"/>
          <w:sz w:val="18"/>
          <w:szCs w:val="18"/>
          <w:lang w:val="en-US"/>
        </w:rPr>
      </w:pPr>
      <w:r w:rsidRPr="00DE79CB">
        <w:rPr>
          <w:rFonts w:ascii="Verdana" w:hAnsi="Verdana"/>
          <w:sz w:val="18"/>
          <w:szCs w:val="18"/>
          <w:lang w:val="en-GB"/>
        </w:rPr>
        <w:t xml:space="preserve">the selected </w:t>
      </w:r>
      <w:r w:rsidR="000E7600" w:rsidRPr="00DE79CB">
        <w:rPr>
          <w:rFonts w:ascii="Verdana" w:hAnsi="Verdana"/>
          <w:sz w:val="18"/>
          <w:szCs w:val="18"/>
          <w:lang w:val="en-GB"/>
        </w:rPr>
        <w:t xml:space="preserve">target </w:t>
      </w:r>
      <w:r w:rsidRPr="00DE79CB">
        <w:rPr>
          <w:rFonts w:ascii="Verdana" w:hAnsi="Verdana"/>
          <w:sz w:val="18"/>
          <w:szCs w:val="18"/>
          <w:lang w:val="en-GB"/>
        </w:rPr>
        <w:t>country/countries and value chain/value chains follow logically from said analyses;</w:t>
      </w:r>
    </w:p>
    <w:p w14:paraId="510C2F2F" w14:textId="150163E0" w:rsidR="00C7086C" w:rsidRPr="00DE79CB" w:rsidRDefault="00C7086C" w:rsidP="00655670">
      <w:pPr>
        <w:pStyle w:val="Lijstalinea"/>
        <w:numPr>
          <w:ilvl w:val="0"/>
          <w:numId w:val="16"/>
        </w:numPr>
        <w:spacing w:after="0" w:line="240" w:lineRule="auto"/>
        <w:rPr>
          <w:rFonts w:ascii="Verdana" w:hAnsi="Verdana"/>
          <w:sz w:val="18"/>
          <w:szCs w:val="18"/>
          <w:lang w:val="en-US"/>
        </w:rPr>
      </w:pPr>
      <w:r w:rsidRPr="00DE79CB">
        <w:rPr>
          <w:rFonts w:ascii="Verdana" w:hAnsi="Verdana"/>
          <w:sz w:val="18"/>
          <w:szCs w:val="18"/>
          <w:lang w:val="en-GB"/>
        </w:rPr>
        <w:t xml:space="preserve">the project is complementary to other initiatives and </w:t>
      </w:r>
      <w:r w:rsidR="00E441E6" w:rsidRPr="00DE79CB">
        <w:rPr>
          <w:rFonts w:ascii="Verdana" w:hAnsi="Verdana"/>
          <w:sz w:val="18"/>
          <w:szCs w:val="18"/>
          <w:lang w:val="en-GB"/>
        </w:rPr>
        <w:t>promotes</w:t>
      </w:r>
      <w:r w:rsidRPr="00DE79CB">
        <w:rPr>
          <w:rFonts w:ascii="Verdana" w:hAnsi="Verdana"/>
          <w:sz w:val="18"/>
          <w:szCs w:val="18"/>
          <w:lang w:val="en-GB"/>
        </w:rPr>
        <w:t xml:space="preserve"> a multistakeholder approach,</w:t>
      </w:r>
    </w:p>
    <w:p w14:paraId="41551AAF" w14:textId="77777777" w:rsidR="003C297D" w:rsidRPr="00DE79CB" w:rsidRDefault="00C7086C" w:rsidP="00E441E6">
      <w:pPr>
        <w:pStyle w:val="Lijstalinea"/>
        <w:numPr>
          <w:ilvl w:val="0"/>
          <w:numId w:val="16"/>
        </w:numPr>
        <w:spacing w:after="0" w:line="240" w:lineRule="auto"/>
        <w:rPr>
          <w:rFonts w:ascii="Verdana" w:hAnsi="Verdana"/>
          <w:sz w:val="18"/>
          <w:szCs w:val="18"/>
          <w:lang w:val="en-US"/>
        </w:rPr>
      </w:pPr>
      <w:r w:rsidRPr="00DE79CB">
        <w:rPr>
          <w:rFonts w:ascii="Verdana" w:hAnsi="Verdana"/>
          <w:sz w:val="18"/>
          <w:szCs w:val="18"/>
          <w:lang w:val="en-GB"/>
        </w:rPr>
        <w:t xml:space="preserve">the applicant </w:t>
      </w:r>
      <w:r w:rsidR="00E441E6" w:rsidRPr="00DE79CB">
        <w:rPr>
          <w:rFonts w:ascii="Verdana" w:hAnsi="Verdana"/>
          <w:sz w:val="18"/>
          <w:szCs w:val="18"/>
          <w:lang w:val="en-GB"/>
        </w:rPr>
        <w:t xml:space="preserve">takes into account </w:t>
      </w:r>
      <w:r w:rsidRPr="00DE79CB">
        <w:rPr>
          <w:rFonts w:ascii="Verdana" w:hAnsi="Verdana"/>
          <w:sz w:val="18"/>
          <w:szCs w:val="18"/>
          <w:lang w:val="en-GB"/>
        </w:rPr>
        <w:t xml:space="preserve">the main risks and challenges in the selected primary value chain, as well as </w:t>
      </w:r>
      <w:r w:rsidR="00E441E6" w:rsidRPr="00DE79CB">
        <w:rPr>
          <w:rFonts w:ascii="Verdana" w:hAnsi="Verdana"/>
          <w:sz w:val="18"/>
          <w:szCs w:val="18"/>
          <w:lang w:val="en-GB"/>
        </w:rPr>
        <w:t>the</w:t>
      </w:r>
      <w:r w:rsidRPr="00DE79CB">
        <w:rPr>
          <w:rFonts w:ascii="Verdana" w:hAnsi="Verdana"/>
          <w:sz w:val="18"/>
          <w:szCs w:val="18"/>
          <w:lang w:val="en-GB"/>
        </w:rPr>
        <w:t xml:space="preserve"> relevant</w:t>
      </w:r>
      <w:r w:rsidR="00E441E6" w:rsidRPr="00DE79CB">
        <w:rPr>
          <w:rFonts w:ascii="Verdana" w:hAnsi="Verdana"/>
          <w:sz w:val="18"/>
          <w:szCs w:val="18"/>
          <w:lang w:val="en-GB"/>
        </w:rPr>
        <w:t xml:space="preserve"> mitigating measures and</w:t>
      </w:r>
      <w:r w:rsidRPr="00DE79CB">
        <w:rPr>
          <w:rFonts w:ascii="Verdana" w:hAnsi="Verdana"/>
          <w:sz w:val="18"/>
          <w:szCs w:val="18"/>
          <w:lang w:val="en-GB"/>
        </w:rPr>
        <w:t xml:space="preserve"> best practices to address these </w:t>
      </w:r>
      <w:r w:rsidR="003C297D" w:rsidRPr="00DE79CB">
        <w:rPr>
          <w:rFonts w:ascii="Verdana" w:hAnsi="Verdana"/>
          <w:sz w:val="18"/>
          <w:szCs w:val="18"/>
          <w:lang w:val="en-GB"/>
        </w:rPr>
        <w:t xml:space="preserve">risks. </w:t>
      </w:r>
    </w:p>
    <w:p w14:paraId="384AAB01" w14:textId="2BDD6EAA" w:rsidR="003C297D" w:rsidRPr="00DE79CB" w:rsidRDefault="003C297D" w:rsidP="003C297D">
      <w:pPr>
        <w:pStyle w:val="Lijstalinea"/>
        <w:numPr>
          <w:ilvl w:val="0"/>
          <w:numId w:val="16"/>
        </w:numPr>
        <w:spacing w:after="0" w:line="240" w:lineRule="auto"/>
        <w:rPr>
          <w:rFonts w:ascii="Verdana" w:hAnsi="Verdana"/>
          <w:sz w:val="18"/>
          <w:szCs w:val="18"/>
          <w:lang w:val="en-US"/>
        </w:rPr>
      </w:pPr>
      <w:r w:rsidRPr="00DE79CB">
        <w:rPr>
          <w:rFonts w:ascii="Verdana" w:hAnsi="Verdana"/>
          <w:sz w:val="18"/>
          <w:szCs w:val="18"/>
          <w:lang w:val="en-GB"/>
        </w:rPr>
        <w:lastRenderedPageBreak/>
        <w:t>the</w:t>
      </w:r>
      <w:r w:rsidR="00E441E6" w:rsidRPr="00DE79CB">
        <w:rPr>
          <w:rFonts w:ascii="Verdana" w:hAnsi="Verdana"/>
          <w:sz w:val="18"/>
          <w:szCs w:val="18"/>
          <w:lang w:val="en-GB"/>
        </w:rPr>
        <w:t xml:space="preserve"> applicant ensures that results are sustained beyond the project period by transferring responsibility to local actors and sustainably strengthening their capacity to continue the changes independently, including at least an exit strategy that factors in the reduction in financial support after the project ends.</w:t>
      </w:r>
    </w:p>
    <w:p w14:paraId="656C4396" w14:textId="33289E38" w:rsidR="00FF3033" w:rsidRPr="00DE79CB" w:rsidDel="00CC390D" w:rsidRDefault="00733E89" w:rsidP="003C297D">
      <w:pPr>
        <w:pStyle w:val="Lijstalinea"/>
        <w:numPr>
          <w:ilvl w:val="0"/>
          <w:numId w:val="16"/>
        </w:numPr>
        <w:spacing w:after="0" w:line="240" w:lineRule="auto"/>
        <w:rPr>
          <w:rFonts w:ascii="Verdana" w:hAnsi="Verdana"/>
          <w:sz w:val="18"/>
          <w:szCs w:val="18"/>
          <w:lang w:val="en-US"/>
        </w:rPr>
      </w:pPr>
      <w:r w:rsidRPr="00DE79CB">
        <w:rPr>
          <w:rFonts w:ascii="Verdana" w:eastAsia="Verdana" w:hAnsi="Verdana" w:cs="Verdana"/>
          <w:sz w:val="18"/>
          <w:szCs w:val="18"/>
          <w:lang w:val="en-GB"/>
        </w:rPr>
        <w:t>the project improves gender equality</w:t>
      </w:r>
      <w:r w:rsidR="00E441E6" w:rsidRPr="00DE79CB">
        <w:rPr>
          <w:rFonts w:ascii="Verdana" w:eastAsia="Verdana" w:hAnsi="Verdana" w:cs="Verdana"/>
          <w:sz w:val="18"/>
          <w:szCs w:val="18"/>
          <w:lang w:val="en-GB"/>
        </w:rPr>
        <w:t xml:space="preserve"> based on a thorough gender</w:t>
      </w:r>
      <w:r w:rsidR="003C297D" w:rsidRPr="00DE79CB">
        <w:rPr>
          <w:rFonts w:ascii="Verdana" w:eastAsia="Verdana" w:hAnsi="Verdana" w:cs="Verdana"/>
          <w:sz w:val="18"/>
          <w:szCs w:val="18"/>
          <w:lang w:val="en-GB"/>
        </w:rPr>
        <w:t xml:space="preserve"> analysis</w:t>
      </w:r>
      <w:r w:rsidRPr="00DE79CB">
        <w:rPr>
          <w:rFonts w:ascii="Verdana" w:eastAsia="Verdana" w:hAnsi="Verdana" w:cs="Verdana"/>
          <w:sz w:val="18"/>
          <w:szCs w:val="18"/>
          <w:lang w:val="en-GB"/>
        </w:rPr>
        <w:t>;</w:t>
      </w:r>
    </w:p>
    <w:p w14:paraId="76F327E0" w14:textId="66F65EEC" w:rsidR="00733E89" w:rsidRPr="00DE79CB" w:rsidDel="00CC390D" w:rsidRDefault="00FF3033" w:rsidP="00655670">
      <w:pPr>
        <w:pStyle w:val="Lijstalinea"/>
        <w:numPr>
          <w:ilvl w:val="0"/>
          <w:numId w:val="16"/>
        </w:num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 xml:space="preserve">the project promotes locally-led development based on the context and stakeholder analysis, and </w:t>
      </w:r>
    </w:p>
    <w:p w14:paraId="18E95E69" w14:textId="3B1C1998" w:rsidR="00DB3E1E" w:rsidRPr="00DE79CB" w:rsidDel="00CC390D" w:rsidRDefault="00733E89" w:rsidP="00655670">
      <w:pPr>
        <w:pStyle w:val="Lijstalinea"/>
        <w:numPr>
          <w:ilvl w:val="0"/>
          <w:numId w:val="16"/>
        </w:num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if relevant, the project demonstrates a thorough understanding of conflict dynamics in the context of the target countries targeted by the application and has translated these insights into conflict-sensitive design and implementation of activities.</w:t>
      </w:r>
    </w:p>
    <w:p w14:paraId="4D553E6F" w14:textId="071C507D" w:rsidR="007A0AAB" w:rsidRPr="00DE79CB" w:rsidRDefault="00CF609B" w:rsidP="00655670">
      <w:pPr>
        <w:pStyle w:val="Lijstalinea"/>
        <w:numPr>
          <w:ilvl w:val="0"/>
          <w:numId w:val="46"/>
        </w:numPr>
        <w:spacing w:after="0" w:line="240" w:lineRule="auto"/>
        <w:rPr>
          <w:rFonts w:ascii="Verdana" w:hAnsi="Verdana"/>
          <w:sz w:val="18"/>
          <w:szCs w:val="18"/>
          <w:lang w:val="en-US"/>
        </w:rPr>
      </w:pPr>
      <w:r w:rsidRPr="00DE79CB">
        <w:rPr>
          <w:rFonts w:ascii="Verdana" w:hAnsi="Verdana"/>
          <w:sz w:val="18"/>
          <w:szCs w:val="18"/>
          <w:lang w:val="en-GB"/>
        </w:rPr>
        <w:t>Contribution to the policy objective</w:t>
      </w:r>
      <w:r w:rsidR="00657A2C" w:rsidRPr="00DE79CB">
        <w:rPr>
          <w:rFonts w:ascii="Verdana" w:hAnsi="Verdana"/>
          <w:sz w:val="18"/>
          <w:szCs w:val="18"/>
          <w:lang w:val="en-GB"/>
        </w:rPr>
        <w:t xml:space="preserve"> and Dutch policy priorities</w:t>
      </w:r>
      <w:r w:rsidRPr="00DE79CB">
        <w:rPr>
          <w:rFonts w:ascii="Verdana" w:hAnsi="Verdana"/>
          <w:sz w:val="18"/>
          <w:szCs w:val="18"/>
          <w:lang w:val="en-GB"/>
        </w:rPr>
        <w:t>: The degree to which the proposed activities:</w:t>
      </w:r>
    </w:p>
    <w:p w14:paraId="0120BE09" w14:textId="36B86936" w:rsidR="007A0AAB" w:rsidRPr="00DE79CB" w:rsidRDefault="006B3BB9" w:rsidP="00E37B21">
      <w:pPr>
        <w:pStyle w:val="Lijstalinea"/>
        <w:numPr>
          <w:ilvl w:val="0"/>
          <w:numId w:val="50"/>
        </w:numPr>
        <w:spacing w:after="0" w:line="240" w:lineRule="auto"/>
        <w:rPr>
          <w:rFonts w:ascii="Verdana" w:hAnsi="Verdana"/>
          <w:sz w:val="18"/>
          <w:szCs w:val="18"/>
          <w:lang w:val="en-US"/>
        </w:rPr>
      </w:pPr>
      <w:r w:rsidRPr="00DE79CB">
        <w:rPr>
          <w:rFonts w:ascii="Verdana" w:hAnsi="Verdana"/>
          <w:sz w:val="18"/>
          <w:szCs w:val="18"/>
          <w:lang w:val="en-GB"/>
        </w:rPr>
        <w:t>contribute to the objective of the grant programme as set out in section 4.1; and</w:t>
      </w:r>
    </w:p>
    <w:p w14:paraId="329D617E" w14:textId="37400C10" w:rsidR="007A0AAB" w:rsidRPr="00DE79CB" w:rsidRDefault="006B3BB9" w:rsidP="00E37B21">
      <w:pPr>
        <w:pStyle w:val="Lijstalinea"/>
        <w:numPr>
          <w:ilvl w:val="0"/>
          <w:numId w:val="50"/>
        </w:numPr>
        <w:spacing w:after="0" w:line="240" w:lineRule="auto"/>
        <w:rPr>
          <w:rFonts w:ascii="Verdana" w:hAnsi="Verdana"/>
          <w:sz w:val="18"/>
          <w:szCs w:val="18"/>
          <w:lang w:val="en-US"/>
        </w:rPr>
      </w:pPr>
      <w:r w:rsidRPr="00DE79CB">
        <w:rPr>
          <w:rFonts w:ascii="Verdana" w:hAnsi="Verdana"/>
          <w:sz w:val="18"/>
          <w:szCs w:val="18"/>
          <w:lang w:val="en-GB"/>
        </w:rPr>
        <w:t xml:space="preserve">follow the OECD Guidelines for Multinational Enterprises and the </w:t>
      </w:r>
      <w:r w:rsidRPr="00DE79CB">
        <w:rPr>
          <w:rFonts w:ascii="Verdana" w:hAnsi="Verdana"/>
          <w:i/>
          <w:iCs/>
          <w:sz w:val="18"/>
          <w:szCs w:val="18"/>
          <w:lang w:val="en-GB"/>
        </w:rPr>
        <w:t>United Nations Guiding Principles on Business &amp; Human Rights</w:t>
      </w:r>
      <w:r w:rsidRPr="00DE79CB">
        <w:rPr>
          <w:rFonts w:ascii="Verdana" w:hAnsi="Verdana"/>
          <w:sz w:val="18"/>
          <w:szCs w:val="18"/>
          <w:lang w:val="en-GB"/>
        </w:rPr>
        <w:t xml:space="preserve">, and its themes; and </w:t>
      </w:r>
    </w:p>
    <w:p w14:paraId="7905C3EF" w14:textId="45246CF4" w:rsidR="00E07E90" w:rsidRPr="00DE79CB" w:rsidRDefault="005519C6" w:rsidP="00E37B21">
      <w:pPr>
        <w:pStyle w:val="Lijstalinea"/>
        <w:numPr>
          <w:ilvl w:val="0"/>
          <w:numId w:val="50"/>
        </w:numPr>
        <w:spacing w:after="0" w:line="240" w:lineRule="auto"/>
        <w:rPr>
          <w:rFonts w:ascii="Verdana" w:hAnsi="Verdana"/>
          <w:sz w:val="18"/>
          <w:szCs w:val="18"/>
          <w:lang w:val="en-US"/>
        </w:rPr>
      </w:pPr>
      <w:r w:rsidRPr="00DE79CB">
        <w:rPr>
          <w:rFonts w:ascii="Verdana" w:hAnsi="Verdana"/>
          <w:sz w:val="18"/>
          <w:szCs w:val="18"/>
          <w:lang w:val="en-GB"/>
        </w:rPr>
        <w:t xml:space="preserve">are designed holistically and in line with the </w:t>
      </w:r>
      <w:r w:rsidRPr="00DE79CB">
        <w:rPr>
          <w:rFonts w:ascii="Verdana" w:hAnsi="Verdana"/>
          <w:i/>
          <w:iCs/>
          <w:sz w:val="18"/>
          <w:szCs w:val="18"/>
          <w:lang w:val="en-GB"/>
        </w:rPr>
        <w:t>People, Planet, Profit</w:t>
      </w:r>
      <w:r w:rsidRPr="00DE79CB">
        <w:rPr>
          <w:rFonts w:ascii="Verdana" w:hAnsi="Verdana"/>
          <w:sz w:val="18"/>
          <w:szCs w:val="18"/>
          <w:lang w:val="en-GB"/>
        </w:rPr>
        <w:t xml:space="preserve"> principle (see appendix 2 to these policy rules).</w:t>
      </w:r>
    </w:p>
    <w:p w14:paraId="6095C3CE" w14:textId="5CDEDDF1" w:rsidR="00E441E6" w:rsidRPr="00DE79CB" w:rsidRDefault="00C019E6" w:rsidP="00E37B21">
      <w:pPr>
        <w:pStyle w:val="Lijstalinea"/>
        <w:numPr>
          <w:ilvl w:val="0"/>
          <w:numId w:val="50"/>
        </w:numPr>
        <w:spacing w:after="0" w:line="240" w:lineRule="auto"/>
        <w:rPr>
          <w:rFonts w:ascii="Verdana" w:hAnsi="Verdana"/>
          <w:sz w:val="18"/>
          <w:szCs w:val="18"/>
          <w:lang w:val="en-US"/>
        </w:rPr>
      </w:pPr>
      <w:r w:rsidRPr="00DE79CB">
        <w:rPr>
          <w:rFonts w:ascii="Verdana" w:hAnsi="Verdana"/>
          <w:sz w:val="18"/>
          <w:szCs w:val="18"/>
          <w:lang w:val="en-US"/>
        </w:rPr>
        <w:t>a</w:t>
      </w:r>
      <w:r w:rsidR="00E441E6" w:rsidRPr="00DE79CB">
        <w:rPr>
          <w:rFonts w:ascii="Verdana" w:hAnsi="Verdana"/>
          <w:sz w:val="18"/>
          <w:szCs w:val="18"/>
          <w:lang w:val="en-US"/>
        </w:rPr>
        <w:t>lign with the policy priorities of Dutch embassies (see Appendix 1 to these policy rules), or, if they do not align with them, provide a convincing justification for the choice made.</w:t>
      </w:r>
    </w:p>
    <w:p w14:paraId="2D026933" w14:textId="7DA4B0DE" w:rsidR="00F8644C" w:rsidRPr="00DE79CB" w:rsidRDefault="6E2AA1E3" w:rsidP="00655670">
      <w:pPr>
        <w:pStyle w:val="Lijstalinea"/>
        <w:numPr>
          <w:ilvl w:val="0"/>
          <w:numId w:val="46"/>
        </w:numPr>
        <w:spacing w:after="0" w:line="240" w:lineRule="auto"/>
        <w:ind w:left="357" w:hanging="357"/>
        <w:rPr>
          <w:rFonts w:ascii="Verdana" w:hAnsi="Verdana"/>
          <w:sz w:val="18"/>
          <w:szCs w:val="18"/>
          <w:lang w:val="en-US"/>
        </w:rPr>
      </w:pPr>
      <w:r w:rsidRPr="00DE79CB">
        <w:rPr>
          <w:rFonts w:ascii="Verdana" w:hAnsi="Verdana"/>
          <w:sz w:val="18"/>
          <w:szCs w:val="18"/>
          <w:lang w:val="en-GB"/>
        </w:rPr>
        <w:t>Intervention logic and MEL system</w:t>
      </w:r>
      <w:r w:rsidR="00C019E6" w:rsidRPr="00DE79CB">
        <w:rPr>
          <w:rFonts w:ascii="Verdana" w:hAnsi="Verdana"/>
          <w:sz w:val="18"/>
          <w:szCs w:val="18"/>
          <w:lang w:val="en-GB"/>
        </w:rPr>
        <w:t xml:space="preserve"> (please refer to appendix 3 of these policy rules)</w:t>
      </w:r>
      <w:r w:rsidRPr="00DE79CB">
        <w:rPr>
          <w:rFonts w:ascii="Verdana" w:hAnsi="Verdana"/>
          <w:sz w:val="18"/>
          <w:szCs w:val="18"/>
          <w:lang w:val="en-GB"/>
        </w:rPr>
        <w:t xml:space="preserve">: the degree to which the applicant's intervention logic and MEL system: </w:t>
      </w:r>
    </w:p>
    <w:p w14:paraId="621B0D6D" w14:textId="3AFEC18F" w:rsidR="00EE4654" w:rsidRPr="00DE79CB" w:rsidRDefault="00EE4654" w:rsidP="00E37B21">
      <w:pPr>
        <w:pStyle w:val="Lijstalinea"/>
        <w:numPr>
          <w:ilvl w:val="0"/>
          <w:numId w:val="51"/>
        </w:numPr>
        <w:spacing w:after="0" w:line="240" w:lineRule="auto"/>
        <w:rPr>
          <w:rFonts w:ascii="Verdana" w:hAnsi="Verdana"/>
          <w:sz w:val="18"/>
          <w:szCs w:val="18"/>
          <w:lang w:val="en-US"/>
        </w:rPr>
      </w:pPr>
      <w:r w:rsidRPr="00DE79CB">
        <w:rPr>
          <w:rFonts w:ascii="Verdana" w:hAnsi="Verdana"/>
          <w:sz w:val="18"/>
          <w:szCs w:val="18"/>
          <w:lang w:val="en-GB"/>
        </w:rPr>
        <w:t xml:space="preserve">are developed in collaboration with in-country partners; and </w:t>
      </w:r>
    </w:p>
    <w:p w14:paraId="5CB9CF94" w14:textId="7765AE5F" w:rsidR="00EE4654" w:rsidRPr="00DE79CB" w:rsidRDefault="00EE4654" w:rsidP="00E37B21">
      <w:pPr>
        <w:pStyle w:val="Lijstalinea"/>
        <w:numPr>
          <w:ilvl w:val="0"/>
          <w:numId w:val="51"/>
        </w:numPr>
        <w:spacing w:after="0" w:line="240" w:lineRule="auto"/>
        <w:rPr>
          <w:rFonts w:ascii="Verdana" w:hAnsi="Verdana"/>
          <w:sz w:val="18"/>
          <w:szCs w:val="18"/>
          <w:lang w:val="en-US"/>
        </w:rPr>
      </w:pPr>
      <w:r w:rsidRPr="00DE79CB">
        <w:rPr>
          <w:rFonts w:ascii="Verdana" w:hAnsi="Verdana"/>
          <w:sz w:val="18"/>
          <w:szCs w:val="18"/>
          <w:lang w:val="en-GB"/>
        </w:rPr>
        <w:t xml:space="preserve">are designed to monitor programme progress, enable transparent accountability, promote a learning and adaptive approach and serve as a basis for timely adjustment of activities within </w:t>
      </w:r>
      <w:r w:rsidR="00831300" w:rsidRPr="00DE79CB">
        <w:rPr>
          <w:rFonts w:ascii="Verdana" w:hAnsi="Verdana"/>
          <w:sz w:val="18"/>
          <w:szCs w:val="18"/>
          <w:lang w:val="en-GB"/>
        </w:rPr>
        <w:t xml:space="preserve">the requirements of </w:t>
      </w:r>
      <w:r w:rsidRPr="00DE79CB">
        <w:rPr>
          <w:rFonts w:ascii="Verdana" w:hAnsi="Verdana"/>
          <w:sz w:val="18"/>
          <w:szCs w:val="18"/>
          <w:lang w:val="en-GB"/>
        </w:rPr>
        <w:t>this grant programme.</w:t>
      </w:r>
    </w:p>
    <w:p w14:paraId="52B07400" w14:textId="5CF75781" w:rsidR="00DB3E1E" w:rsidRPr="00DE79CB" w:rsidRDefault="00DB3E1E" w:rsidP="00655670">
      <w:pPr>
        <w:pStyle w:val="Lijstalinea"/>
        <w:numPr>
          <w:ilvl w:val="0"/>
          <w:numId w:val="46"/>
        </w:numPr>
        <w:spacing w:after="0" w:line="240" w:lineRule="auto"/>
        <w:ind w:left="357" w:hanging="357"/>
        <w:rPr>
          <w:rFonts w:ascii="Verdana" w:hAnsi="Verdana"/>
          <w:sz w:val="18"/>
          <w:szCs w:val="18"/>
          <w:lang w:val="en-US"/>
        </w:rPr>
      </w:pPr>
      <w:r w:rsidRPr="00DE79CB">
        <w:rPr>
          <w:rFonts w:ascii="Verdana" w:hAnsi="Verdana"/>
          <w:sz w:val="18"/>
          <w:szCs w:val="18"/>
          <w:lang w:val="en-GB"/>
        </w:rPr>
        <w:t>Budget: the degree to which the budgeted costs match the described intervention and the achievement of the described results.</w:t>
      </w:r>
    </w:p>
    <w:p w14:paraId="565F058E" w14:textId="77777777" w:rsidR="00DB3E1E" w:rsidRPr="00DE79CB" w:rsidRDefault="00DB3E1E" w:rsidP="00655670">
      <w:pPr>
        <w:pStyle w:val="Lijstalinea"/>
        <w:spacing w:after="0" w:line="240" w:lineRule="auto"/>
        <w:ind w:left="357"/>
        <w:rPr>
          <w:rFonts w:ascii="Verdana" w:hAnsi="Verdana"/>
          <w:sz w:val="18"/>
          <w:szCs w:val="18"/>
          <w:lang w:val="en-US"/>
        </w:rPr>
      </w:pPr>
    </w:p>
    <w:p w14:paraId="16650576" w14:textId="7A221D00" w:rsidR="00DB3E1E" w:rsidRPr="00DE79CB" w:rsidRDefault="6E2AA1E3" w:rsidP="00655670">
      <w:pPr>
        <w:pStyle w:val="al"/>
        <w:shd w:val="clear" w:color="auto" w:fill="FFFFFF" w:themeFill="background1"/>
        <w:spacing w:before="0" w:beforeAutospacing="0" w:after="0" w:afterAutospacing="0"/>
        <w:rPr>
          <w:rFonts w:ascii="Verdana" w:eastAsia="Verdana" w:hAnsi="Verdana" w:cs="Verdana"/>
          <w:i/>
          <w:color w:val="333333"/>
          <w:sz w:val="18"/>
          <w:szCs w:val="18"/>
          <w:lang w:val="fr-FR"/>
        </w:rPr>
      </w:pPr>
      <w:r w:rsidRPr="00DE79CB">
        <w:rPr>
          <w:rFonts w:ascii="Verdana" w:eastAsia="Verdana" w:hAnsi="Verdana" w:cs="Verdana"/>
          <w:i/>
          <w:iCs/>
          <w:color w:val="333333"/>
          <w:sz w:val="18"/>
          <w:szCs w:val="18"/>
          <w:lang w:val="fr-FR"/>
        </w:rPr>
        <w:t xml:space="preserve">7.2.3 </w:t>
      </w:r>
      <w:r w:rsidR="00657A2C" w:rsidRPr="00DE79CB">
        <w:rPr>
          <w:rFonts w:ascii="Verdana" w:eastAsia="Verdana" w:hAnsi="Verdana" w:cs="Verdana"/>
          <w:i/>
          <w:iCs/>
          <w:color w:val="333333"/>
          <w:sz w:val="18"/>
          <w:szCs w:val="18"/>
          <w:lang w:val="fr-FR"/>
        </w:rPr>
        <w:t xml:space="preserve">Focus </w:t>
      </w:r>
      <w:proofErr w:type="spellStart"/>
      <w:r w:rsidR="00657A2C" w:rsidRPr="00DE79CB">
        <w:rPr>
          <w:rFonts w:ascii="Verdana" w:eastAsia="Verdana" w:hAnsi="Verdana" w:cs="Verdana"/>
          <w:i/>
          <w:iCs/>
          <w:color w:val="333333"/>
          <w:sz w:val="18"/>
          <w:szCs w:val="18"/>
          <w:lang w:val="fr-FR"/>
        </w:rPr>
        <w:t>p</w:t>
      </w:r>
      <w:r w:rsidRPr="00DE79CB">
        <w:rPr>
          <w:rFonts w:ascii="Verdana" w:eastAsia="Verdana" w:hAnsi="Verdana" w:cs="Verdana"/>
          <w:i/>
          <w:iCs/>
          <w:color w:val="333333"/>
          <w:sz w:val="18"/>
          <w:szCs w:val="18"/>
          <w:lang w:val="fr-FR"/>
        </w:rPr>
        <w:t>olicy</w:t>
      </w:r>
      <w:proofErr w:type="spellEnd"/>
      <w:r w:rsidRPr="00DE79CB">
        <w:rPr>
          <w:rFonts w:ascii="Verdana" w:eastAsia="Verdana" w:hAnsi="Verdana" w:cs="Verdana"/>
          <w:i/>
          <w:iCs/>
          <w:color w:val="333333"/>
          <w:sz w:val="18"/>
          <w:szCs w:val="18"/>
          <w:lang w:val="fr-FR"/>
        </w:rPr>
        <w:t xml:space="preserve"> </w:t>
      </w:r>
      <w:proofErr w:type="spellStart"/>
      <w:r w:rsidRPr="00DE79CB">
        <w:rPr>
          <w:rFonts w:ascii="Verdana" w:eastAsia="Verdana" w:hAnsi="Verdana" w:cs="Verdana"/>
          <w:i/>
          <w:iCs/>
          <w:color w:val="333333"/>
          <w:sz w:val="18"/>
          <w:szCs w:val="18"/>
          <w:lang w:val="fr-FR"/>
        </w:rPr>
        <w:t>principles</w:t>
      </w:r>
      <w:proofErr w:type="spellEnd"/>
      <w:r w:rsidRPr="00DE79CB">
        <w:rPr>
          <w:rFonts w:ascii="Verdana" w:eastAsia="Verdana" w:hAnsi="Verdana" w:cs="Verdana"/>
          <w:i/>
          <w:iCs/>
          <w:color w:val="333333"/>
          <w:sz w:val="18"/>
          <w:szCs w:val="18"/>
          <w:lang w:val="fr-FR"/>
        </w:rPr>
        <w:t xml:space="preserve"> (minimum </w:t>
      </w:r>
      <w:r w:rsidR="00657A2C" w:rsidRPr="00DE79CB">
        <w:rPr>
          <w:rFonts w:ascii="Verdana" w:eastAsia="Verdana" w:hAnsi="Verdana" w:cs="Verdana"/>
          <w:i/>
          <w:iCs/>
          <w:color w:val="333333"/>
          <w:sz w:val="18"/>
          <w:szCs w:val="18"/>
          <w:lang w:val="fr-FR"/>
        </w:rPr>
        <w:t>7</w:t>
      </w:r>
      <w:r w:rsidRPr="00DE79CB">
        <w:rPr>
          <w:rFonts w:ascii="Verdana" w:eastAsia="Verdana" w:hAnsi="Verdana" w:cs="Verdana"/>
          <w:i/>
          <w:iCs/>
          <w:color w:val="333333"/>
          <w:sz w:val="18"/>
          <w:szCs w:val="18"/>
          <w:lang w:val="fr-FR"/>
        </w:rPr>
        <w:t xml:space="preserve"> points, maximum </w:t>
      </w:r>
      <w:r w:rsidR="00657A2C" w:rsidRPr="00DE79CB">
        <w:rPr>
          <w:rFonts w:ascii="Verdana" w:eastAsia="Verdana" w:hAnsi="Verdana" w:cs="Verdana"/>
          <w:i/>
          <w:iCs/>
          <w:color w:val="333333"/>
          <w:sz w:val="18"/>
          <w:szCs w:val="18"/>
          <w:lang w:val="fr-FR"/>
        </w:rPr>
        <w:t>1</w:t>
      </w:r>
      <w:r w:rsidRPr="00DE79CB">
        <w:rPr>
          <w:rFonts w:ascii="Verdana" w:eastAsia="Verdana" w:hAnsi="Verdana" w:cs="Verdana"/>
          <w:i/>
          <w:iCs/>
          <w:color w:val="333333"/>
          <w:sz w:val="18"/>
          <w:szCs w:val="18"/>
          <w:lang w:val="fr-FR"/>
        </w:rPr>
        <w:t>0 points)</w:t>
      </w:r>
    </w:p>
    <w:p w14:paraId="35EBE742" w14:textId="52B38B1E" w:rsidR="003F52D1" w:rsidRPr="00DE79CB" w:rsidRDefault="00A10F1E" w:rsidP="00655670">
      <w:pPr>
        <w:pStyle w:val="Lijstalinea"/>
        <w:numPr>
          <w:ilvl w:val="0"/>
          <w:numId w:val="26"/>
        </w:numPr>
        <w:spacing w:after="0" w:line="240" w:lineRule="auto"/>
        <w:rPr>
          <w:rFonts w:ascii="Verdana" w:hAnsi="Verdana"/>
          <w:sz w:val="18"/>
          <w:szCs w:val="18"/>
          <w:lang w:val="en-US"/>
        </w:rPr>
      </w:pPr>
      <w:r w:rsidRPr="00DE79CB">
        <w:rPr>
          <w:rFonts w:ascii="Verdana" w:hAnsi="Verdana"/>
          <w:sz w:val="18"/>
          <w:szCs w:val="18"/>
          <w:lang w:val="en-GB"/>
        </w:rPr>
        <w:t xml:space="preserve">Vision on localisation: The degree to which the applicant presents a clear vision and approach for fostering local ownership, with a transparent division of roles between the applicant and in-country partners in programme decision-making, and showing that cooperation is based on shared responsibility, shared risks and equal decision-making arrangements. </w:t>
      </w:r>
    </w:p>
    <w:p w14:paraId="373397C5" w14:textId="1F0AD7C0" w:rsidR="003F52D1" w:rsidRPr="00DE79CB" w:rsidRDefault="00A10F1E" w:rsidP="00655670">
      <w:pPr>
        <w:pStyle w:val="Lijstalinea"/>
        <w:numPr>
          <w:ilvl w:val="0"/>
          <w:numId w:val="26"/>
        </w:numPr>
        <w:spacing w:after="0" w:line="240" w:lineRule="auto"/>
        <w:rPr>
          <w:rFonts w:ascii="Verdana" w:hAnsi="Verdana"/>
          <w:sz w:val="18"/>
          <w:szCs w:val="18"/>
          <w:lang w:val="en-US"/>
        </w:rPr>
      </w:pPr>
      <w:r w:rsidRPr="00DE79CB">
        <w:rPr>
          <w:rFonts w:ascii="Verdana" w:hAnsi="Verdana"/>
          <w:sz w:val="18"/>
          <w:szCs w:val="18"/>
          <w:lang w:val="en-GB"/>
        </w:rPr>
        <w:t xml:space="preserve">Selection and assessment of </w:t>
      </w:r>
      <w:r w:rsidR="00C019E6" w:rsidRPr="00DE79CB">
        <w:rPr>
          <w:rFonts w:ascii="Verdana" w:hAnsi="Verdana"/>
          <w:sz w:val="18"/>
          <w:szCs w:val="18"/>
          <w:lang w:val="en-GB"/>
        </w:rPr>
        <w:t xml:space="preserve">(in-country) </w:t>
      </w:r>
      <w:r w:rsidRPr="00DE79CB">
        <w:rPr>
          <w:rFonts w:ascii="Verdana" w:hAnsi="Verdana"/>
          <w:sz w:val="18"/>
          <w:szCs w:val="18"/>
          <w:lang w:val="en-GB"/>
        </w:rPr>
        <w:t>partners for</w:t>
      </w:r>
      <w:r w:rsidR="00C019E6" w:rsidRPr="00DE79CB">
        <w:rPr>
          <w:rFonts w:ascii="Verdana" w:hAnsi="Verdana"/>
          <w:sz w:val="18"/>
          <w:szCs w:val="18"/>
          <w:lang w:val="en-GB"/>
        </w:rPr>
        <w:t xml:space="preserve"> financial support - for</w:t>
      </w:r>
      <w:r w:rsidRPr="00DE79CB">
        <w:rPr>
          <w:rFonts w:ascii="Verdana" w:hAnsi="Verdana"/>
          <w:sz w:val="18"/>
          <w:szCs w:val="18"/>
          <w:lang w:val="en-GB"/>
        </w:rPr>
        <w:t xml:space="preserve"> service provision</w:t>
      </w:r>
      <w:r w:rsidR="00C019E6" w:rsidRPr="00DE79CB">
        <w:rPr>
          <w:rFonts w:ascii="Verdana" w:hAnsi="Verdana"/>
          <w:sz w:val="18"/>
          <w:szCs w:val="18"/>
          <w:lang w:val="en-GB"/>
        </w:rPr>
        <w:t xml:space="preserve"> and</w:t>
      </w:r>
      <w:r w:rsidRPr="00DE79CB">
        <w:rPr>
          <w:rFonts w:ascii="Verdana" w:hAnsi="Verdana"/>
          <w:sz w:val="18"/>
          <w:szCs w:val="18"/>
          <w:lang w:val="en-GB"/>
        </w:rPr>
        <w:t xml:space="preserve"> dialogue</w:t>
      </w:r>
      <w:r w:rsidR="00C019E6" w:rsidRPr="00DE79CB">
        <w:rPr>
          <w:rFonts w:ascii="Verdana" w:hAnsi="Verdana"/>
          <w:sz w:val="18"/>
          <w:szCs w:val="18"/>
          <w:lang w:val="en-GB"/>
        </w:rPr>
        <w:t xml:space="preserve"> implemented by partners -</w:t>
      </w:r>
      <w:r w:rsidRPr="00DE79CB">
        <w:rPr>
          <w:rFonts w:ascii="Verdana" w:hAnsi="Verdana"/>
          <w:sz w:val="18"/>
          <w:szCs w:val="18"/>
          <w:lang w:val="en-GB"/>
        </w:rPr>
        <w:t xml:space="preserve">, and </w:t>
      </w:r>
      <w:r w:rsidR="00C019E6" w:rsidRPr="00DE79CB">
        <w:rPr>
          <w:rFonts w:ascii="Verdana" w:hAnsi="Verdana"/>
          <w:sz w:val="18"/>
          <w:szCs w:val="18"/>
          <w:lang w:val="en-GB"/>
        </w:rPr>
        <w:t xml:space="preserve">for </w:t>
      </w:r>
      <w:r w:rsidRPr="00DE79CB">
        <w:rPr>
          <w:rFonts w:ascii="Verdana" w:hAnsi="Verdana"/>
          <w:sz w:val="18"/>
          <w:szCs w:val="18"/>
          <w:lang w:val="en-GB"/>
        </w:rPr>
        <w:t xml:space="preserve">capacity </w:t>
      </w:r>
      <w:r w:rsidR="00C019E6" w:rsidRPr="00DE79CB">
        <w:rPr>
          <w:rFonts w:ascii="Verdana" w:hAnsi="Verdana"/>
          <w:sz w:val="18"/>
          <w:szCs w:val="18"/>
          <w:lang w:val="en-GB"/>
        </w:rPr>
        <w:t>strengthening of in-country partners</w:t>
      </w:r>
      <w:r w:rsidRPr="00DE79CB">
        <w:rPr>
          <w:rFonts w:ascii="Verdana" w:hAnsi="Verdana"/>
          <w:sz w:val="18"/>
          <w:szCs w:val="18"/>
          <w:lang w:val="en-GB"/>
        </w:rPr>
        <w:t xml:space="preserve">: The degree to which the selection and assessment process </w:t>
      </w:r>
      <w:r w:rsidR="00C019E6" w:rsidRPr="00DE79CB">
        <w:rPr>
          <w:rFonts w:ascii="Verdana" w:hAnsi="Verdana"/>
          <w:sz w:val="18"/>
          <w:szCs w:val="18"/>
          <w:lang w:val="en-GB"/>
        </w:rPr>
        <w:t>of</w:t>
      </w:r>
      <w:r w:rsidRPr="00DE79CB">
        <w:rPr>
          <w:rFonts w:ascii="Verdana" w:hAnsi="Verdana"/>
          <w:sz w:val="18"/>
          <w:szCs w:val="18"/>
          <w:lang w:val="en-GB"/>
        </w:rPr>
        <w:t xml:space="preserve"> </w:t>
      </w:r>
      <w:r w:rsidR="00C019E6" w:rsidRPr="00DE79CB">
        <w:rPr>
          <w:rFonts w:ascii="Verdana" w:hAnsi="Verdana"/>
          <w:sz w:val="18"/>
          <w:szCs w:val="18"/>
          <w:lang w:val="en-GB"/>
        </w:rPr>
        <w:t>(</w:t>
      </w:r>
      <w:r w:rsidRPr="00DE79CB">
        <w:rPr>
          <w:rFonts w:ascii="Verdana" w:hAnsi="Verdana"/>
          <w:sz w:val="18"/>
          <w:szCs w:val="18"/>
          <w:lang w:val="en-GB"/>
        </w:rPr>
        <w:t>in-country</w:t>
      </w:r>
      <w:r w:rsidR="00C019E6" w:rsidRPr="00DE79CB">
        <w:rPr>
          <w:rFonts w:ascii="Verdana" w:hAnsi="Verdana"/>
          <w:sz w:val="18"/>
          <w:szCs w:val="18"/>
          <w:lang w:val="en-GB"/>
        </w:rPr>
        <w:t>)</w:t>
      </w:r>
      <w:r w:rsidRPr="00DE79CB">
        <w:rPr>
          <w:rFonts w:ascii="Verdana" w:hAnsi="Verdana"/>
          <w:sz w:val="18"/>
          <w:szCs w:val="18"/>
          <w:lang w:val="en-GB"/>
        </w:rPr>
        <w:t xml:space="preserve"> partners is designed in a careful, objective and inclusive manner. The applicant must have clear procedures for selecting new partners and for reassessing existing partners whose organisational capacity has been assessed as sufficient to qualify for support</w:t>
      </w:r>
      <w:r w:rsidR="00C019E6" w:rsidRPr="00DE79CB">
        <w:rPr>
          <w:rFonts w:ascii="Verdana" w:hAnsi="Verdana"/>
          <w:sz w:val="18"/>
          <w:szCs w:val="18"/>
          <w:lang w:val="en-GB"/>
        </w:rPr>
        <w:t>.</w:t>
      </w:r>
      <w:r w:rsidRPr="00DE79CB">
        <w:rPr>
          <w:rFonts w:ascii="Verdana" w:hAnsi="Verdana"/>
          <w:sz w:val="18"/>
          <w:szCs w:val="18"/>
          <w:lang w:val="en-GB"/>
        </w:rPr>
        <w:t xml:space="preserve"> </w:t>
      </w:r>
    </w:p>
    <w:p w14:paraId="3C8F306C" w14:textId="70108769" w:rsidR="00DB3E1E" w:rsidRPr="00DE79CB" w:rsidRDefault="00A10F1E" w:rsidP="00655670">
      <w:pPr>
        <w:pStyle w:val="Lijstalinea"/>
        <w:numPr>
          <w:ilvl w:val="0"/>
          <w:numId w:val="26"/>
        </w:numPr>
        <w:spacing w:after="0" w:line="240" w:lineRule="auto"/>
        <w:rPr>
          <w:rFonts w:ascii="Verdana" w:hAnsi="Verdana"/>
          <w:sz w:val="18"/>
          <w:szCs w:val="18"/>
          <w:lang w:val="en-US"/>
        </w:rPr>
      </w:pPr>
      <w:r w:rsidRPr="00DE79CB">
        <w:rPr>
          <w:rFonts w:ascii="Verdana" w:hAnsi="Verdana"/>
          <w:sz w:val="18"/>
          <w:szCs w:val="18"/>
          <w:lang w:val="en-GB"/>
        </w:rPr>
        <w:t xml:space="preserve">Capacity </w:t>
      </w:r>
      <w:r w:rsidR="00C019E6" w:rsidRPr="00DE79CB">
        <w:rPr>
          <w:rFonts w:ascii="Verdana" w:hAnsi="Verdana"/>
          <w:sz w:val="18"/>
          <w:szCs w:val="18"/>
          <w:lang w:val="en-GB"/>
        </w:rPr>
        <w:t>strengthening</w:t>
      </w:r>
      <w:r w:rsidRPr="00DE79CB">
        <w:rPr>
          <w:rFonts w:ascii="Verdana" w:hAnsi="Verdana"/>
          <w:sz w:val="18"/>
          <w:szCs w:val="18"/>
          <w:lang w:val="en-GB"/>
        </w:rPr>
        <w:t xml:space="preserve"> of in-country partners: the degree to which the proposed approach to capacity strengthening reflects a demand-driven methodology, takes account of the local context and the identified capacity needs of the in-country partners, and is based on a clear and coherent vision for capacity </w:t>
      </w:r>
      <w:r w:rsidR="00C019E6" w:rsidRPr="00DE79CB">
        <w:rPr>
          <w:rFonts w:ascii="Verdana" w:hAnsi="Verdana"/>
          <w:sz w:val="18"/>
          <w:szCs w:val="18"/>
          <w:lang w:val="en-GB"/>
        </w:rPr>
        <w:t>strengthening</w:t>
      </w:r>
      <w:r w:rsidRPr="00DE79CB">
        <w:rPr>
          <w:rFonts w:ascii="Verdana" w:hAnsi="Verdana"/>
          <w:sz w:val="18"/>
          <w:szCs w:val="18"/>
          <w:lang w:val="en-GB"/>
        </w:rPr>
        <w:t>.</w:t>
      </w:r>
    </w:p>
    <w:p w14:paraId="49FB1C45" w14:textId="77777777" w:rsidR="0077388B" w:rsidRPr="00DE79CB" w:rsidRDefault="0077388B" w:rsidP="00655670">
      <w:pPr>
        <w:spacing w:after="0" w:line="240" w:lineRule="auto"/>
        <w:rPr>
          <w:rFonts w:ascii="Verdana" w:hAnsi="Verdana"/>
          <w:sz w:val="18"/>
          <w:szCs w:val="18"/>
          <w:lang w:val="en-US"/>
        </w:rPr>
      </w:pPr>
    </w:p>
    <w:p w14:paraId="775AE822" w14:textId="109F4A89" w:rsidR="007D7275" w:rsidRPr="00DE79CB" w:rsidRDefault="007D7275"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To support the assessment, RVO may verify assumptions and assertions made in the application and reach out to relevant stakeholders as needed.</w:t>
      </w:r>
    </w:p>
    <w:p w14:paraId="75885E74" w14:textId="77777777" w:rsidR="007D7275" w:rsidRPr="00DE79CB" w:rsidRDefault="007D7275" w:rsidP="00655670">
      <w:pPr>
        <w:spacing w:after="0" w:line="240" w:lineRule="auto"/>
        <w:rPr>
          <w:rFonts w:ascii="Verdana" w:eastAsia="Verdana" w:hAnsi="Verdana" w:cs="Verdana"/>
          <w:sz w:val="18"/>
          <w:szCs w:val="18"/>
          <w:lang w:val="en-US"/>
        </w:rPr>
      </w:pPr>
    </w:p>
    <w:p w14:paraId="288DF229" w14:textId="4E69D17A" w:rsidR="00D90D8B" w:rsidRPr="00DE79CB" w:rsidRDefault="00B0748D"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 xml:space="preserve">RVO </w:t>
      </w:r>
      <w:r w:rsidR="6E2AA1E3" w:rsidRPr="00DE79CB">
        <w:rPr>
          <w:rFonts w:ascii="Verdana" w:eastAsia="Verdana" w:hAnsi="Verdana" w:cs="Verdana"/>
          <w:sz w:val="18"/>
          <w:szCs w:val="18"/>
          <w:lang w:val="en-GB"/>
        </w:rPr>
        <w:t xml:space="preserve">may also seek advice from external referees during the substantive assessment process. </w:t>
      </w:r>
    </w:p>
    <w:p w14:paraId="28B807A5" w14:textId="77777777" w:rsidR="00D90D8B" w:rsidRPr="00DE79CB" w:rsidRDefault="00D90D8B" w:rsidP="00655670">
      <w:pPr>
        <w:spacing w:after="0" w:line="240" w:lineRule="auto"/>
        <w:rPr>
          <w:rFonts w:ascii="Verdana" w:eastAsia="Verdana" w:hAnsi="Verdana" w:cs="Verdana"/>
          <w:sz w:val="18"/>
          <w:szCs w:val="18"/>
          <w:lang w:val="en-US"/>
        </w:rPr>
      </w:pPr>
    </w:p>
    <w:p w14:paraId="576E7966" w14:textId="7C465170" w:rsidR="007D7275" w:rsidRPr="00DE79CB" w:rsidRDefault="6E2AA1E3"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Embassies in the target countries are also asked for input</w:t>
      </w:r>
      <w:r w:rsidR="00E84A73" w:rsidRPr="00DE79CB">
        <w:rPr>
          <w:rFonts w:ascii="Verdana" w:eastAsia="Verdana" w:hAnsi="Verdana" w:cs="Verdana"/>
          <w:sz w:val="18"/>
          <w:szCs w:val="18"/>
          <w:lang w:val="en-GB"/>
        </w:rPr>
        <w:t xml:space="preserve"> during the assessment of the applications</w:t>
      </w:r>
      <w:r w:rsidR="0042528B" w:rsidRPr="00DE79CB">
        <w:rPr>
          <w:rFonts w:ascii="Verdana" w:eastAsia="Verdana" w:hAnsi="Verdana" w:cs="Verdana"/>
          <w:sz w:val="18"/>
          <w:szCs w:val="18"/>
          <w:lang w:val="en-GB"/>
        </w:rPr>
        <w:t>, at least</w:t>
      </w:r>
      <w:r w:rsidRPr="00DE79CB">
        <w:rPr>
          <w:rFonts w:ascii="Verdana" w:eastAsia="Verdana" w:hAnsi="Verdana" w:cs="Verdana"/>
          <w:sz w:val="18"/>
          <w:szCs w:val="18"/>
          <w:lang w:val="en-GB"/>
        </w:rPr>
        <w:t xml:space="preserve"> on</w:t>
      </w:r>
      <w:r w:rsidR="00EE17BC" w:rsidRPr="00DE79CB">
        <w:rPr>
          <w:rFonts w:ascii="Verdana" w:eastAsia="Verdana" w:hAnsi="Verdana" w:cs="Verdana"/>
          <w:sz w:val="18"/>
          <w:szCs w:val="18"/>
          <w:lang w:val="en-GB"/>
        </w:rPr>
        <w:t xml:space="preserve"> the (sub-)criteria on </w:t>
      </w:r>
      <w:r w:rsidR="00E84A73" w:rsidRPr="00DE79CB">
        <w:rPr>
          <w:rFonts w:ascii="Verdana" w:eastAsia="Verdana" w:hAnsi="Verdana" w:cs="Verdana"/>
          <w:sz w:val="18"/>
          <w:szCs w:val="18"/>
          <w:lang w:val="en-GB"/>
        </w:rPr>
        <w:t xml:space="preserve">the </w:t>
      </w:r>
      <w:r w:rsidR="00EE17BC" w:rsidRPr="00DE79CB">
        <w:rPr>
          <w:rFonts w:ascii="Verdana" w:eastAsia="Verdana" w:hAnsi="Verdana" w:cs="Verdana"/>
          <w:sz w:val="18"/>
          <w:szCs w:val="18"/>
          <w:lang w:val="en-GB"/>
        </w:rPr>
        <w:t>intervention</w:t>
      </w:r>
      <w:r w:rsidR="00E84A73" w:rsidRPr="00DE79CB">
        <w:rPr>
          <w:rFonts w:ascii="Verdana" w:eastAsia="Verdana" w:hAnsi="Verdana" w:cs="Verdana"/>
          <w:sz w:val="18"/>
          <w:szCs w:val="18"/>
          <w:lang w:val="en-GB"/>
        </w:rPr>
        <w:t xml:space="preserve"> </w:t>
      </w:r>
      <w:r w:rsidR="00EE17BC" w:rsidRPr="00DE79CB">
        <w:rPr>
          <w:rFonts w:ascii="Verdana" w:eastAsia="Verdana" w:hAnsi="Verdana" w:cs="Verdana"/>
          <w:sz w:val="18"/>
          <w:szCs w:val="18"/>
          <w:lang w:val="en-GB"/>
        </w:rPr>
        <w:t xml:space="preserve">strategy (section 7.2.2) </w:t>
      </w:r>
      <w:r w:rsidRPr="00DE79CB">
        <w:rPr>
          <w:rFonts w:ascii="Verdana" w:eastAsia="Verdana" w:hAnsi="Verdana" w:cs="Verdana"/>
          <w:sz w:val="18"/>
          <w:szCs w:val="18"/>
          <w:lang w:val="en-GB"/>
        </w:rPr>
        <w:t>with particular attention for the alignment of applications with their policies and embedding in the local context.</w:t>
      </w:r>
    </w:p>
    <w:p w14:paraId="09BF25E6" w14:textId="77777777" w:rsidR="007D7275" w:rsidRPr="00DE79CB" w:rsidRDefault="007D7275" w:rsidP="00655670">
      <w:pPr>
        <w:spacing w:after="0" w:line="240" w:lineRule="auto"/>
        <w:rPr>
          <w:rFonts w:ascii="Verdana" w:eastAsia="Verdana" w:hAnsi="Verdana" w:cs="Verdana"/>
          <w:sz w:val="18"/>
          <w:szCs w:val="18"/>
          <w:lang w:val="en-US"/>
        </w:rPr>
      </w:pPr>
    </w:p>
    <w:bookmarkEnd w:id="16"/>
    <w:p w14:paraId="1B01CBA7" w14:textId="12EACC21" w:rsidR="00111951" w:rsidRPr="00DE79CB" w:rsidRDefault="00111951" w:rsidP="00655670">
      <w:pPr>
        <w:pStyle w:val="Lijstalinea"/>
        <w:numPr>
          <w:ilvl w:val="0"/>
          <w:numId w:val="19"/>
        </w:numPr>
        <w:spacing w:after="0" w:line="240" w:lineRule="auto"/>
        <w:rPr>
          <w:rFonts w:ascii="Verdana" w:hAnsi="Verdana"/>
          <w:b/>
          <w:bCs/>
          <w:sz w:val="18"/>
          <w:szCs w:val="18"/>
        </w:rPr>
      </w:pPr>
      <w:r w:rsidRPr="00DE79CB">
        <w:rPr>
          <w:rFonts w:ascii="Verdana" w:eastAsia="Verdana" w:hAnsi="Verdana" w:cs="Verdana"/>
          <w:b/>
          <w:bCs/>
          <w:sz w:val="18"/>
          <w:szCs w:val="18"/>
          <w:lang w:val="en-GB"/>
        </w:rPr>
        <w:t>Grounds for rejection</w:t>
      </w:r>
    </w:p>
    <w:p w14:paraId="1A1AD85B" w14:textId="77777777" w:rsidR="00201CBD" w:rsidRPr="00DE79CB" w:rsidRDefault="00201CBD" w:rsidP="00655670">
      <w:pPr>
        <w:pStyle w:val="Lijstalinea"/>
        <w:spacing w:after="0" w:line="240" w:lineRule="auto"/>
        <w:ind w:left="360"/>
        <w:rPr>
          <w:rFonts w:ascii="Verdana" w:eastAsia="Verdana" w:hAnsi="Verdana" w:cs="Verdana"/>
          <w:b/>
          <w:bCs/>
          <w:sz w:val="18"/>
          <w:szCs w:val="18"/>
        </w:rPr>
      </w:pPr>
    </w:p>
    <w:p w14:paraId="2EEE85F5" w14:textId="515B1684" w:rsidR="00111951" w:rsidRPr="00DE79CB" w:rsidRDefault="00111951"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In addition to the provisions of Article 4:35 of the General Administrative Law Act, grant applications will be rejected if the provisions of this grant programme are not met or if the grant ceiling has been exhausted.</w:t>
      </w:r>
    </w:p>
    <w:p w14:paraId="5CEF6F47" w14:textId="77777777" w:rsidR="00201CBD" w:rsidRPr="00DE79CB" w:rsidRDefault="00201CBD" w:rsidP="00655670">
      <w:pPr>
        <w:spacing w:after="0" w:line="240" w:lineRule="auto"/>
        <w:rPr>
          <w:rFonts w:ascii="Verdana" w:eastAsia="Verdana" w:hAnsi="Verdana" w:cs="Verdana"/>
          <w:sz w:val="18"/>
          <w:szCs w:val="18"/>
          <w:lang w:val="en-US"/>
        </w:rPr>
      </w:pPr>
    </w:p>
    <w:p w14:paraId="0F95DC00" w14:textId="3226674F" w:rsidR="00111951" w:rsidRPr="00DE79CB" w:rsidRDefault="00111951" w:rsidP="00655670">
      <w:pPr>
        <w:pStyle w:val="Lijstalinea"/>
        <w:numPr>
          <w:ilvl w:val="0"/>
          <w:numId w:val="19"/>
        </w:numPr>
        <w:spacing w:after="0" w:line="240" w:lineRule="auto"/>
        <w:rPr>
          <w:rFonts w:ascii="Verdana" w:hAnsi="Verdana"/>
          <w:b/>
          <w:bCs/>
          <w:sz w:val="18"/>
          <w:szCs w:val="18"/>
        </w:rPr>
      </w:pPr>
      <w:r w:rsidRPr="00DE79CB">
        <w:rPr>
          <w:rFonts w:ascii="Verdana" w:eastAsia="Verdana" w:hAnsi="Verdana" w:cs="Verdana"/>
          <w:b/>
          <w:bCs/>
          <w:sz w:val="18"/>
          <w:szCs w:val="18"/>
          <w:lang w:val="en-GB"/>
        </w:rPr>
        <w:t>Oversight</w:t>
      </w:r>
    </w:p>
    <w:p w14:paraId="370411AA" w14:textId="77777777" w:rsidR="00201CBD" w:rsidRPr="00DE79CB" w:rsidRDefault="00201CBD" w:rsidP="00655670">
      <w:pPr>
        <w:pStyle w:val="Lijstalinea"/>
        <w:spacing w:after="0" w:line="240" w:lineRule="auto"/>
        <w:ind w:left="360"/>
        <w:rPr>
          <w:rFonts w:ascii="Verdana" w:eastAsia="Verdana" w:hAnsi="Verdana" w:cs="Verdana"/>
          <w:b/>
          <w:bCs/>
          <w:sz w:val="18"/>
          <w:szCs w:val="18"/>
        </w:rPr>
      </w:pPr>
    </w:p>
    <w:p w14:paraId="4A6C3050" w14:textId="60754A6E" w:rsidR="00201CBD" w:rsidRPr="00DE79CB" w:rsidRDefault="6E2AA1E3"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 xml:space="preserve">RVO will perform random checks to verify the correct use of the grant funds, assessing whether programmes use these funds legally and effectively in line with the grant decision. </w:t>
      </w:r>
    </w:p>
    <w:p w14:paraId="310204AA" w14:textId="77777777" w:rsidR="00FE78BB" w:rsidRPr="00DE79CB" w:rsidRDefault="00FE78BB" w:rsidP="00655670">
      <w:pPr>
        <w:spacing w:after="0" w:line="240" w:lineRule="auto"/>
        <w:rPr>
          <w:rFonts w:ascii="Verdana" w:eastAsia="Verdana" w:hAnsi="Verdana" w:cs="Verdana"/>
          <w:sz w:val="18"/>
          <w:szCs w:val="18"/>
          <w:lang w:val="en-US"/>
        </w:rPr>
      </w:pPr>
    </w:p>
    <w:p w14:paraId="58F313FF" w14:textId="30D7ED2D" w:rsidR="00111951" w:rsidRPr="00DE79CB" w:rsidRDefault="00111951" w:rsidP="00655670">
      <w:pPr>
        <w:pStyle w:val="Lijstalinea"/>
        <w:numPr>
          <w:ilvl w:val="0"/>
          <w:numId w:val="19"/>
        </w:numPr>
        <w:spacing w:after="0" w:line="240" w:lineRule="auto"/>
        <w:rPr>
          <w:rFonts w:ascii="Verdana" w:hAnsi="Verdana"/>
          <w:b/>
          <w:bCs/>
          <w:sz w:val="18"/>
          <w:szCs w:val="18"/>
        </w:rPr>
      </w:pPr>
      <w:r w:rsidRPr="00DE79CB">
        <w:rPr>
          <w:rFonts w:ascii="Verdana" w:eastAsia="Verdana" w:hAnsi="Verdana" w:cs="Verdana"/>
          <w:b/>
          <w:bCs/>
          <w:sz w:val="18"/>
          <w:szCs w:val="18"/>
          <w:lang w:val="en-GB"/>
        </w:rPr>
        <w:t>Obligations</w:t>
      </w:r>
    </w:p>
    <w:p w14:paraId="3F8372CD" w14:textId="77777777" w:rsidR="00201CBD" w:rsidRPr="00DE79CB" w:rsidRDefault="00201CBD" w:rsidP="00655670">
      <w:pPr>
        <w:pStyle w:val="Lijstalinea"/>
        <w:spacing w:after="0" w:line="240" w:lineRule="auto"/>
        <w:ind w:left="360"/>
        <w:rPr>
          <w:rFonts w:ascii="Verdana" w:eastAsia="Verdana" w:hAnsi="Verdana" w:cs="Verdana"/>
          <w:b/>
          <w:bCs/>
          <w:sz w:val="18"/>
          <w:szCs w:val="18"/>
        </w:rPr>
      </w:pPr>
    </w:p>
    <w:p w14:paraId="6D1D52D7" w14:textId="1BC8DF72" w:rsidR="00D2437B" w:rsidRPr="00DE79CB" w:rsidRDefault="00D2437B"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The grant award decision will include, inter alia, the following obligations for the grant recipient:</w:t>
      </w:r>
    </w:p>
    <w:p w14:paraId="4A6F3FC9" w14:textId="77777777" w:rsidR="0077388B" w:rsidRPr="00DE79CB" w:rsidRDefault="0077388B" w:rsidP="00655670">
      <w:pPr>
        <w:spacing w:after="0" w:line="240" w:lineRule="auto"/>
        <w:rPr>
          <w:rFonts w:ascii="Verdana" w:eastAsia="Verdana" w:hAnsi="Verdana" w:cs="Verdana"/>
          <w:sz w:val="18"/>
          <w:szCs w:val="18"/>
          <w:lang w:val="en-US"/>
        </w:rPr>
      </w:pPr>
    </w:p>
    <w:p w14:paraId="3097DE0C" w14:textId="41CD5768" w:rsidR="00D2437B" w:rsidRPr="00DE79CB" w:rsidRDefault="000632BF" w:rsidP="00655670">
      <w:pPr>
        <w:pStyle w:val="Lijstalinea"/>
        <w:numPr>
          <w:ilvl w:val="0"/>
          <w:numId w:val="10"/>
        </w:num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 xml:space="preserve">An obligation to notify RVO without delay of any facts or circumstances that may be relevant to the grant, including situations where the </w:t>
      </w:r>
      <w:r w:rsidR="00884197" w:rsidRPr="00DE79CB">
        <w:rPr>
          <w:rFonts w:ascii="Verdana" w:eastAsia="Verdana" w:hAnsi="Verdana" w:cs="Verdana"/>
          <w:sz w:val="18"/>
          <w:szCs w:val="18"/>
          <w:lang w:val="en-GB"/>
        </w:rPr>
        <w:t xml:space="preserve">granted </w:t>
      </w:r>
      <w:r w:rsidRPr="00DE79CB">
        <w:rPr>
          <w:rFonts w:ascii="Verdana" w:eastAsia="Verdana" w:hAnsi="Verdana" w:cs="Verdana"/>
          <w:sz w:val="18"/>
          <w:szCs w:val="18"/>
          <w:lang w:val="en-GB"/>
        </w:rPr>
        <w:t xml:space="preserve">activities cannot be carried out in full or on time, and compliance with the OECD Guidelines. </w:t>
      </w:r>
    </w:p>
    <w:p w14:paraId="043D3425" w14:textId="75372DCB" w:rsidR="00D2437B" w:rsidRPr="00DE79CB" w:rsidRDefault="000632BF" w:rsidP="00655670">
      <w:pPr>
        <w:pStyle w:val="Lijstalinea"/>
        <w:numPr>
          <w:ilvl w:val="0"/>
          <w:numId w:val="10"/>
        </w:num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A prohibition on the use of child labour and/or forced labour.</w:t>
      </w:r>
      <w:r w:rsidRPr="00DE79CB">
        <w:rPr>
          <w:rStyle w:val="Voetnootmarkering"/>
          <w:rFonts w:ascii="Verdana" w:eastAsia="Verdana" w:hAnsi="Verdana" w:cs="Verdana"/>
          <w:sz w:val="18"/>
          <w:szCs w:val="18"/>
          <w:lang w:val="en-GB"/>
        </w:rPr>
        <w:footnoteReference w:id="25"/>
      </w:r>
      <w:r w:rsidRPr="00DE79CB">
        <w:rPr>
          <w:rFonts w:ascii="Verdana" w:eastAsia="Verdana" w:hAnsi="Verdana" w:cs="Verdana"/>
          <w:sz w:val="18"/>
          <w:szCs w:val="18"/>
          <w:lang w:val="en-GB"/>
        </w:rPr>
        <w:t xml:space="preserve"> The grant recipient must also promptly notify RVO of any facts or circumstances indicating child or forced labour within their own organisation or among partners.</w:t>
      </w:r>
    </w:p>
    <w:p w14:paraId="1AB14A6C" w14:textId="1CA56FAA" w:rsidR="00884D79" w:rsidRPr="00DE79CB" w:rsidRDefault="000632BF" w:rsidP="00655670">
      <w:pPr>
        <w:pStyle w:val="Lijstalinea"/>
        <w:numPr>
          <w:ilvl w:val="0"/>
          <w:numId w:val="10"/>
        </w:num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An obligation to cooperate with the monitoring and evaluation activities of the grant programme, including the central baseline study and mid-term evaluation, as further described in appendix 3</w:t>
      </w:r>
      <w:r w:rsidR="0073502C" w:rsidRPr="00DE79CB">
        <w:rPr>
          <w:rFonts w:ascii="Verdana" w:eastAsia="Verdana" w:hAnsi="Verdana" w:cs="Verdana"/>
          <w:sz w:val="18"/>
          <w:szCs w:val="18"/>
          <w:lang w:val="en-GB"/>
        </w:rPr>
        <w:t xml:space="preserve"> to these policy rules</w:t>
      </w:r>
      <w:r w:rsidRPr="00DE79CB">
        <w:rPr>
          <w:rFonts w:ascii="Verdana" w:eastAsia="Verdana" w:hAnsi="Verdana" w:cs="Verdana"/>
          <w:sz w:val="18"/>
          <w:szCs w:val="18"/>
          <w:lang w:val="en-GB"/>
        </w:rPr>
        <w:t>, and to report in accordance with the International Aid Transparency Initiative (IATI)</w:t>
      </w:r>
      <w:r w:rsidRPr="00DE79CB">
        <w:rPr>
          <w:rStyle w:val="Voetnootmarkering"/>
          <w:rFonts w:ascii="Verdana" w:eastAsia="Verdana" w:hAnsi="Verdana" w:cs="Verdana"/>
          <w:sz w:val="18"/>
          <w:szCs w:val="18"/>
          <w:lang w:val="en-GB"/>
        </w:rPr>
        <w:footnoteReference w:id="26"/>
      </w:r>
      <w:r w:rsidRPr="00DE79CB">
        <w:rPr>
          <w:rFonts w:ascii="Verdana" w:eastAsia="Verdana" w:hAnsi="Verdana" w:cs="Verdana"/>
          <w:sz w:val="18"/>
          <w:szCs w:val="18"/>
          <w:lang w:val="en-GB"/>
        </w:rPr>
        <w:t>.</w:t>
      </w:r>
    </w:p>
    <w:p w14:paraId="3557A654" w14:textId="6064157D" w:rsidR="00D2437B" w:rsidRPr="00DE79CB" w:rsidRDefault="005A56E2" w:rsidP="00655670">
      <w:pPr>
        <w:pStyle w:val="Lijstalinea"/>
        <w:numPr>
          <w:ilvl w:val="0"/>
          <w:numId w:val="10"/>
        </w:num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 xml:space="preserve">An obligation to develop, during the inception phase and in cooperation with </w:t>
      </w:r>
      <w:r w:rsidR="00884197" w:rsidRPr="00DE79CB">
        <w:rPr>
          <w:rFonts w:ascii="Verdana" w:eastAsia="Verdana" w:hAnsi="Verdana" w:cs="Verdana"/>
          <w:sz w:val="18"/>
          <w:szCs w:val="18"/>
          <w:lang w:val="en-GB"/>
        </w:rPr>
        <w:t>(</w:t>
      </w:r>
      <w:r w:rsidRPr="00DE79CB">
        <w:rPr>
          <w:rFonts w:ascii="Verdana" w:eastAsia="Verdana" w:hAnsi="Verdana" w:cs="Verdana"/>
          <w:sz w:val="18"/>
          <w:szCs w:val="18"/>
          <w:lang w:val="en-GB"/>
        </w:rPr>
        <w:t>in-country</w:t>
      </w:r>
      <w:r w:rsidR="00884197" w:rsidRPr="00DE79CB">
        <w:rPr>
          <w:rFonts w:ascii="Verdana" w:eastAsia="Verdana" w:hAnsi="Verdana" w:cs="Verdana"/>
          <w:sz w:val="18"/>
          <w:szCs w:val="18"/>
          <w:lang w:val="en-GB"/>
        </w:rPr>
        <w:t>)</w:t>
      </w:r>
      <w:r w:rsidRPr="00DE79CB">
        <w:rPr>
          <w:rFonts w:ascii="Verdana" w:eastAsia="Verdana" w:hAnsi="Verdana" w:cs="Verdana"/>
          <w:sz w:val="18"/>
          <w:szCs w:val="18"/>
          <w:lang w:val="en-GB"/>
        </w:rPr>
        <w:t xml:space="preserve"> partners, a Theory of Change and a results framework for each project with a view to monitoring project progress. As the projects aim to bring about systemic change, learning priorities and an approach to addressing these priorities during implementation must be defined. Finally, insights and lessons learned must be actively shared within multi-stakeholder initiatives, such as sector covenants.</w:t>
      </w:r>
    </w:p>
    <w:p w14:paraId="67F230C2" w14:textId="7CFC4A5D" w:rsidR="00D2437B" w:rsidRPr="00DE79CB" w:rsidRDefault="000632BF" w:rsidP="00655670">
      <w:pPr>
        <w:pStyle w:val="Lijstalinea"/>
        <w:numPr>
          <w:ilvl w:val="0"/>
          <w:numId w:val="10"/>
        </w:num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 xml:space="preserve">An obligation to submit an annual report setting out progress against the intended outcomes and objectives, together with an overview of expenditure in relation to the original project budget. </w:t>
      </w:r>
    </w:p>
    <w:p w14:paraId="7609665D" w14:textId="6C2F47EF" w:rsidR="00411889" w:rsidRPr="00DE79CB" w:rsidRDefault="000632BF" w:rsidP="00411889">
      <w:pPr>
        <w:pStyle w:val="Lijstalinea"/>
        <w:numPr>
          <w:ilvl w:val="0"/>
          <w:numId w:val="10"/>
        </w:num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An obligation, upon completion of the project, to submit a final report, including an external auditor’s assurance report on the costs incurred, and to cooperate in the dissemination of project results.</w:t>
      </w:r>
    </w:p>
    <w:p w14:paraId="544592E1" w14:textId="77777777" w:rsidR="00201CBD" w:rsidRPr="00DE79CB" w:rsidRDefault="00201CBD" w:rsidP="00655670">
      <w:pPr>
        <w:spacing w:after="0" w:line="240" w:lineRule="auto"/>
        <w:rPr>
          <w:rFonts w:ascii="Verdana" w:eastAsia="Verdana" w:hAnsi="Verdana" w:cs="Verdana"/>
          <w:sz w:val="18"/>
          <w:szCs w:val="18"/>
          <w:lang w:val="en-US"/>
        </w:rPr>
      </w:pPr>
    </w:p>
    <w:p w14:paraId="7DD26590" w14:textId="1EB18289" w:rsidR="00111951" w:rsidRPr="00DE79CB" w:rsidRDefault="00111951" w:rsidP="00655670">
      <w:pPr>
        <w:pStyle w:val="Lijstalinea"/>
        <w:numPr>
          <w:ilvl w:val="0"/>
          <w:numId w:val="19"/>
        </w:numPr>
        <w:spacing w:after="0" w:line="240" w:lineRule="auto"/>
        <w:rPr>
          <w:rFonts w:ascii="Verdana" w:hAnsi="Verdana"/>
          <w:b/>
          <w:bCs/>
          <w:sz w:val="18"/>
          <w:szCs w:val="18"/>
        </w:rPr>
      </w:pPr>
      <w:r w:rsidRPr="00DE79CB">
        <w:rPr>
          <w:rFonts w:ascii="Verdana" w:eastAsia="Verdana" w:hAnsi="Verdana" w:cs="Verdana"/>
          <w:b/>
          <w:bCs/>
          <w:sz w:val="18"/>
          <w:szCs w:val="18"/>
          <w:lang w:val="en-GB"/>
        </w:rPr>
        <w:t>Administrative burden</w:t>
      </w:r>
    </w:p>
    <w:p w14:paraId="5AC3A583" w14:textId="77777777" w:rsidR="00201CBD" w:rsidRPr="00DE79CB" w:rsidRDefault="00201CBD" w:rsidP="00655670">
      <w:pPr>
        <w:pStyle w:val="Lijstalinea"/>
        <w:spacing w:after="0" w:line="240" w:lineRule="auto"/>
        <w:ind w:left="360"/>
        <w:rPr>
          <w:rFonts w:ascii="Verdana" w:eastAsia="Verdana" w:hAnsi="Verdana" w:cs="Verdana"/>
          <w:b/>
          <w:bCs/>
          <w:sz w:val="18"/>
          <w:szCs w:val="18"/>
        </w:rPr>
      </w:pPr>
    </w:p>
    <w:p w14:paraId="0DA3BC89" w14:textId="2E2DE40F" w:rsidR="00F27ECC" w:rsidRPr="00DE79CB" w:rsidRDefault="00111951"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 xml:space="preserve">The administrative burden for applicants has been assessed out using a standard cost model, taking into account the submission of a grant application, the implementation phase, the determination of the grant, and any objection or appeal procedures. The assessment shows that the overall administrative burden represents </w:t>
      </w:r>
      <w:r w:rsidR="00F90873" w:rsidRPr="00DE79CB">
        <w:rPr>
          <w:rFonts w:ascii="Verdana" w:eastAsia="Verdana" w:hAnsi="Verdana" w:cs="Verdana"/>
          <w:sz w:val="18"/>
          <w:szCs w:val="18"/>
          <w:lang w:val="en-GB"/>
        </w:rPr>
        <w:t>4,5</w:t>
      </w:r>
      <w:r w:rsidRPr="00DE79CB">
        <w:rPr>
          <w:rFonts w:ascii="Verdana" w:eastAsia="Verdana" w:hAnsi="Verdana" w:cs="Verdana"/>
          <w:sz w:val="18"/>
          <w:szCs w:val="18"/>
          <w:lang w:val="en-GB"/>
        </w:rPr>
        <w:t>% of the total available grant budget.</w:t>
      </w:r>
    </w:p>
    <w:p w14:paraId="7C0925A1" w14:textId="393C950C" w:rsidR="005144F0" w:rsidRPr="00DE79CB" w:rsidRDefault="005144F0"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br w:type="page"/>
      </w:r>
    </w:p>
    <w:p w14:paraId="68B5CF89" w14:textId="1093312D" w:rsidR="001E29AB" w:rsidRPr="00DE79CB" w:rsidRDefault="005144F0" w:rsidP="00655670">
      <w:pPr>
        <w:spacing w:after="0" w:line="240" w:lineRule="auto"/>
        <w:rPr>
          <w:rFonts w:ascii="Verdana" w:eastAsia="Verdana" w:hAnsi="Verdana" w:cs="Verdana"/>
          <w:b/>
          <w:bCs/>
          <w:sz w:val="18"/>
          <w:szCs w:val="18"/>
          <w:lang w:val="en-US"/>
        </w:rPr>
      </w:pPr>
      <w:r w:rsidRPr="00DE79CB">
        <w:rPr>
          <w:rFonts w:ascii="Verdana" w:eastAsia="Verdana" w:hAnsi="Verdana" w:cs="Verdana"/>
          <w:b/>
          <w:bCs/>
          <w:sz w:val="18"/>
          <w:szCs w:val="18"/>
          <w:lang w:val="en-GB"/>
        </w:rPr>
        <w:lastRenderedPageBreak/>
        <w:t>Appendix 1 - Target countries</w:t>
      </w:r>
    </w:p>
    <w:p w14:paraId="7B5774B2" w14:textId="77777777" w:rsidR="00451189" w:rsidRPr="00DE79CB" w:rsidRDefault="00451189" w:rsidP="00655670">
      <w:pPr>
        <w:spacing w:after="0" w:line="240" w:lineRule="auto"/>
        <w:rPr>
          <w:rFonts w:ascii="Verdana" w:eastAsia="Verdana" w:hAnsi="Verdana" w:cs="Verdana"/>
          <w:b/>
          <w:bCs/>
          <w:sz w:val="18"/>
          <w:szCs w:val="18"/>
          <w:lang w:val="en-US"/>
        </w:rPr>
      </w:pPr>
      <w:bookmarkStart w:id="20" w:name="_Hlk216344571"/>
    </w:p>
    <w:p w14:paraId="7C9B5A52" w14:textId="00695D98" w:rsidR="000F170C" w:rsidRPr="00DE79CB" w:rsidRDefault="000F170C" w:rsidP="000F170C">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The table below provides an overview of Dutch priority sectors, value chains and policy priorities per country. This overview is based on current policy on aid and trade of the Dutch government.  </w:t>
      </w:r>
    </w:p>
    <w:p w14:paraId="6EE4F026" w14:textId="77777777" w:rsidR="000F170C" w:rsidRPr="00DE79CB" w:rsidRDefault="000F170C" w:rsidP="000F170C">
      <w:pPr>
        <w:spacing w:after="0" w:line="240" w:lineRule="auto"/>
        <w:rPr>
          <w:rFonts w:ascii="Verdana" w:eastAsia="Verdana" w:hAnsi="Verdana" w:cs="Verdana"/>
          <w:sz w:val="18"/>
          <w:szCs w:val="18"/>
          <w:lang w:val="en-US"/>
        </w:rPr>
      </w:pPr>
    </w:p>
    <w:p w14:paraId="5EB87286" w14:textId="3A63260F" w:rsidR="000F170C" w:rsidRPr="00DE79CB" w:rsidRDefault="000F170C" w:rsidP="000F170C">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 xml:space="preserve">Activities that are eligible for this </w:t>
      </w:r>
      <w:r w:rsidR="00B62757" w:rsidRPr="00DE79CB">
        <w:rPr>
          <w:rFonts w:ascii="Verdana" w:eastAsia="Verdana" w:hAnsi="Verdana" w:cs="Verdana"/>
          <w:sz w:val="18"/>
          <w:szCs w:val="18"/>
          <w:lang w:val="en-US"/>
        </w:rPr>
        <w:t>grant</w:t>
      </w:r>
      <w:r w:rsidRPr="00DE79CB">
        <w:rPr>
          <w:rFonts w:ascii="Verdana" w:eastAsia="Verdana" w:hAnsi="Verdana" w:cs="Verdana"/>
          <w:sz w:val="18"/>
          <w:szCs w:val="18"/>
          <w:lang w:val="en-US"/>
        </w:rPr>
        <w:t xml:space="preserve"> must be focused on the priority sectors and value chains per target country listed in the table. This is applied as an eligibility requirement (see section 4.3.2).</w:t>
      </w:r>
    </w:p>
    <w:p w14:paraId="650E6149" w14:textId="782312AE" w:rsidR="000F170C" w:rsidRPr="00DE79CB" w:rsidRDefault="000F170C" w:rsidP="000F170C">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Alignment with policy priorities as described in the table below  will be taken into account during the qualitative assessment of proposals (see section 7.2.2 sub b). Activities should be based on a thorough analysis of the local context and stakeholders, be complementary to other initiatives and promote a multistakeholder approach (see section 7.2.2 sub a). .  </w:t>
      </w:r>
    </w:p>
    <w:p w14:paraId="73B708DB" w14:textId="77777777" w:rsidR="000F170C" w:rsidRPr="00DE79CB" w:rsidRDefault="000F170C" w:rsidP="000F170C">
      <w:pPr>
        <w:spacing w:after="0" w:line="240" w:lineRule="auto"/>
        <w:rPr>
          <w:rFonts w:ascii="Verdana" w:eastAsia="Verdana" w:hAnsi="Verdana" w:cs="Verdana"/>
          <w:sz w:val="18"/>
          <w:szCs w:val="18"/>
          <w:lang w:val="en-US"/>
        </w:rPr>
      </w:pPr>
    </w:p>
    <w:p w14:paraId="6F1C06EA" w14:textId="448E6EE8" w:rsidR="003E591C" w:rsidRPr="00DE79CB" w:rsidRDefault="003E591C" w:rsidP="003E591C">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Sectors are defined and delineated as follows:</w:t>
      </w:r>
    </w:p>
    <w:p w14:paraId="4FDBA382" w14:textId="1114C001" w:rsidR="000F170C" w:rsidRPr="00DE79CB" w:rsidRDefault="000F170C" w:rsidP="000F170C">
      <w:pPr>
        <w:spacing w:after="0" w:line="240" w:lineRule="auto"/>
        <w:rPr>
          <w:rFonts w:ascii="Verdana" w:eastAsia="Verdana" w:hAnsi="Verdana" w:cs="Verdana"/>
          <w:sz w:val="18"/>
          <w:szCs w:val="18"/>
          <w:lang w:val="en-US"/>
        </w:rPr>
      </w:pPr>
    </w:p>
    <w:p w14:paraId="381C8612" w14:textId="77777777" w:rsidR="000F170C" w:rsidRPr="00DE79CB" w:rsidRDefault="000F170C" w:rsidP="000F170C">
      <w:pPr>
        <w:spacing w:after="0" w:line="240" w:lineRule="auto"/>
        <w:rPr>
          <w:rFonts w:ascii="Verdana" w:eastAsia="Verdana" w:hAnsi="Verdana" w:cs="Verdana"/>
          <w:sz w:val="18"/>
          <w:szCs w:val="18"/>
          <w:u w:val="single"/>
          <w:lang w:val="en-US"/>
        </w:rPr>
      </w:pPr>
    </w:p>
    <w:p w14:paraId="39504432" w14:textId="7FAABFF1" w:rsidR="000F170C" w:rsidRPr="00DE79CB" w:rsidRDefault="000F170C" w:rsidP="000F170C">
      <w:pPr>
        <w:spacing w:after="0" w:line="240" w:lineRule="auto"/>
        <w:rPr>
          <w:rFonts w:ascii="Verdana" w:eastAsia="Verdana" w:hAnsi="Verdana" w:cs="Verdana"/>
          <w:sz w:val="18"/>
          <w:szCs w:val="18"/>
          <w:lang w:val="en-US"/>
        </w:rPr>
      </w:pPr>
      <w:r w:rsidRPr="00DE79CB">
        <w:rPr>
          <w:rFonts w:ascii="Verdana" w:eastAsia="Verdana" w:hAnsi="Verdana" w:cs="Verdana"/>
          <w:sz w:val="18"/>
          <w:szCs w:val="18"/>
          <w:u w:val="single"/>
          <w:lang w:val="en-US"/>
        </w:rPr>
        <w:t>Agriculture/agri-food</w:t>
      </w:r>
      <w:r w:rsidRPr="00DE79CB">
        <w:rPr>
          <w:rFonts w:ascii="Verdana" w:eastAsia="Verdana" w:hAnsi="Verdana" w:cs="Verdana"/>
          <w:sz w:val="18"/>
          <w:szCs w:val="18"/>
          <w:lang w:val="en-US"/>
        </w:rPr>
        <w:t>  </w:t>
      </w:r>
      <w:r w:rsidRPr="00DE79CB">
        <w:rPr>
          <w:rFonts w:ascii="Verdana" w:eastAsia="Verdana" w:hAnsi="Verdana" w:cs="Verdana"/>
          <w:sz w:val="18"/>
          <w:szCs w:val="18"/>
          <w:lang w:val="en-US"/>
        </w:rPr>
        <w:br/>
        <w:t xml:space="preserve">This concerns </w:t>
      </w:r>
      <w:r w:rsidR="003E591C" w:rsidRPr="00DE79CB">
        <w:rPr>
          <w:rFonts w:ascii="Verdana" w:eastAsia="Verdana" w:hAnsi="Verdana" w:cs="Verdana"/>
          <w:sz w:val="18"/>
          <w:szCs w:val="18"/>
          <w:lang w:val="en-US"/>
        </w:rPr>
        <w:t xml:space="preserve">raw and processed </w:t>
      </w:r>
      <w:r w:rsidRPr="00DE79CB">
        <w:rPr>
          <w:rFonts w:ascii="Verdana" w:eastAsia="Verdana" w:hAnsi="Verdana" w:cs="Verdana"/>
          <w:sz w:val="18"/>
          <w:szCs w:val="18"/>
          <w:lang w:val="en-US"/>
        </w:rPr>
        <w:t xml:space="preserve">agricultural </w:t>
      </w:r>
      <w:r w:rsidR="003E591C" w:rsidRPr="00DE79CB">
        <w:rPr>
          <w:rFonts w:ascii="Verdana" w:eastAsia="Verdana" w:hAnsi="Verdana" w:cs="Verdana"/>
          <w:sz w:val="18"/>
          <w:szCs w:val="18"/>
          <w:lang w:val="en-US"/>
        </w:rPr>
        <w:t>products that are exported</w:t>
      </w:r>
      <w:r w:rsidRPr="00DE79CB">
        <w:rPr>
          <w:rFonts w:ascii="Verdana" w:eastAsia="Verdana" w:hAnsi="Verdana" w:cs="Verdana"/>
          <w:sz w:val="18"/>
          <w:szCs w:val="18"/>
          <w:lang w:val="en-US"/>
        </w:rPr>
        <w:t xml:space="preserve"> from the listed </w:t>
      </w:r>
      <w:r w:rsidR="003E591C" w:rsidRPr="00DE79CB">
        <w:rPr>
          <w:rFonts w:ascii="Verdana" w:eastAsia="Verdana" w:hAnsi="Verdana" w:cs="Verdana"/>
          <w:sz w:val="18"/>
          <w:szCs w:val="18"/>
          <w:lang w:val="en-US"/>
        </w:rPr>
        <w:t xml:space="preserve">target </w:t>
      </w:r>
      <w:r w:rsidRPr="00DE79CB">
        <w:rPr>
          <w:rFonts w:ascii="Verdana" w:eastAsia="Verdana" w:hAnsi="Verdana" w:cs="Verdana"/>
          <w:sz w:val="18"/>
          <w:szCs w:val="18"/>
          <w:lang w:val="en-US"/>
        </w:rPr>
        <w:t>countries to the Netherlands</w:t>
      </w:r>
      <w:r w:rsidR="003E591C" w:rsidRPr="00DE79CB">
        <w:rPr>
          <w:rFonts w:ascii="Verdana" w:eastAsia="Verdana" w:hAnsi="Verdana" w:cs="Verdana"/>
          <w:sz w:val="18"/>
          <w:szCs w:val="18"/>
          <w:lang w:val="en-US"/>
        </w:rPr>
        <w:t xml:space="preserve"> or Europe</w:t>
      </w:r>
      <w:r w:rsidRPr="00DE79CB">
        <w:rPr>
          <w:rFonts w:ascii="Verdana" w:eastAsia="Verdana" w:hAnsi="Verdana" w:cs="Verdana"/>
          <w:sz w:val="18"/>
          <w:szCs w:val="18"/>
          <w:lang w:val="en-US"/>
        </w:rPr>
        <w:t xml:space="preserve">. </w:t>
      </w:r>
      <w:r w:rsidR="003E591C" w:rsidRPr="00DE79CB">
        <w:rPr>
          <w:rFonts w:ascii="Verdana" w:eastAsia="Verdana" w:hAnsi="Verdana" w:cs="Verdana"/>
          <w:sz w:val="18"/>
          <w:szCs w:val="18"/>
          <w:lang w:val="en-US"/>
        </w:rPr>
        <w:t xml:space="preserve">Examples include </w:t>
      </w:r>
      <w:r w:rsidRPr="00DE79CB">
        <w:rPr>
          <w:rFonts w:ascii="Verdana" w:eastAsia="Verdana" w:hAnsi="Verdana" w:cs="Verdana"/>
          <w:sz w:val="18"/>
          <w:szCs w:val="18"/>
          <w:lang w:val="en-US"/>
        </w:rPr>
        <w:t>: Cocoa, vegetable oils such as palm oil, and horticultur</w:t>
      </w:r>
      <w:r w:rsidR="003E591C" w:rsidRPr="00DE79CB">
        <w:rPr>
          <w:rFonts w:ascii="Verdana" w:eastAsia="Verdana" w:hAnsi="Verdana" w:cs="Verdana"/>
          <w:sz w:val="18"/>
          <w:szCs w:val="18"/>
          <w:lang w:val="en-US"/>
        </w:rPr>
        <w:t>al products</w:t>
      </w:r>
      <w:r w:rsidRPr="00DE79CB">
        <w:rPr>
          <w:rFonts w:ascii="Verdana" w:eastAsia="Verdana" w:hAnsi="Verdana" w:cs="Verdana"/>
          <w:sz w:val="18"/>
          <w:szCs w:val="18"/>
          <w:lang w:val="en-US"/>
        </w:rPr>
        <w:t xml:space="preserve">. </w:t>
      </w:r>
    </w:p>
    <w:p w14:paraId="5754FBF8" w14:textId="77777777" w:rsidR="000F170C" w:rsidRPr="00DE79CB" w:rsidRDefault="000F170C" w:rsidP="000F170C">
      <w:pPr>
        <w:spacing w:after="0" w:line="240" w:lineRule="auto"/>
        <w:rPr>
          <w:rFonts w:ascii="Verdana" w:eastAsia="Verdana" w:hAnsi="Verdana" w:cs="Verdana"/>
          <w:sz w:val="18"/>
          <w:szCs w:val="18"/>
          <w:u w:val="single"/>
          <w:lang w:val="en-US"/>
        </w:rPr>
      </w:pPr>
    </w:p>
    <w:p w14:paraId="72532FB5" w14:textId="53E8F8C9" w:rsidR="000F170C" w:rsidRPr="00DE79CB" w:rsidRDefault="00651AE4" w:rsidP="000F170C">
      <w:pPr>
        <w:spacing w:after="0" w:line="240" w:lineRule="auto"/>
        <w:rPr>
          <w:rFonts w:ascii="Verdana" w:eastAsia="Verdana" w:hAnsi="Verdana" w:cs="Verdana"/>
          <w:sz w:val="18"/>
          <w:szCs w:val="18"/>
          <w:lang w:val="en-US"/>
        </w:rPr>
      </w:pPr>
      <w:r w:rsidRPr="00DE79CB">
        <w:rPr>
          <w:rFonts w:ascii="Verdana" w:eastAsia="Verdana" w:hAnsi="Verdana" w:cs="Verdana"/>
          <w:sz w:val="18"/>
          <w:szCs w:val="18"/>
          <w:u w:val="single"/>
          <w:lang w:val="en-US"/>
        </w:rPr>
        <w:t>Critical R</w:t>
      </w:r>
      <w:r w:rsidR="000F170C" w:rsidRPr="00DE79CB">
        <w:rPr>
          <w:rFonts w:ascii="Verdana" w:eastAsia="Verdana" w:hAnsi="Verdana" w:cs="Verdana"/>
          <w:sz w:val="18"/>
          <w:szCs w:val="18"/>
          <w:u w:val="single"/>
          <w:lang w:val="en-US"/>
        </w:rPr>
        <w:t xml:space="preserve">aw </w:t>
      </w:r>
      <w:r w:rsidRPr="00DE79CB">
        <w:rPr>
          <w:rFonts w:ascii="Verdana" w:eastAsia="Verdana" w:hAnsi="Verdana" w:cs="Verdana"/>
          <w:sz w:val="18"/>
          <w:szCs w:val="18"/>
          <w:u w:val="single"/>
          <w:lang w:val="en-US"/>
        </w:rPr>
        <w:t>M</w:t>
      </w:r>
      <w:r w:rsidR="000F170C" w:rsidRPr="00DE79CB">
        <w:rPr>
          <w:rFonts w:ascii="Verdana" w:eastAsia="Verdana" w:hAnsi="Verdana" w:cs="Verdana"/>
          <w:sz w:val="18"/>
          <w:szCs w:val="18"/>
          <w:u w:val="single"/>
          <w:lang w:val="en-US"/>
        </w:rPr>
        <w:t>aterials</w:t>
      </w:r>
      <w:r w:rsidR="000F170C" w:rsidRPr="00DE79CB">
        <w:rPr>
          <w:rFonts w:ascii="Verdana" w:eastAsia="Verdana" w:hAnsi="Verdana" w:cs="Verdana"/>
          <w:sz w:val="18"/>
          <w:szCs w:val="18"/>
          <w:lang w:val="en-US"/>
        </w:rPr>
        <w:t> </w:t>
      </w:r>
      <w:r w:rsidRPr="00DE79CB">
        <w:rPr>
          <w:rFonts w:ascii="Verdana" w:eastAsia="Verdana" w:hAnsi="Verdana" w:cs="Verdana"/>
          <w:sz w:val="18"/>
          <w:szCs w:val="18"/>
          <w:lang w:val="en-US"/>
        </w:rPr>
        <w:t>(CRM)</w:t>
      </w:r>
      <w:r w:rsidR="000F170C" w:rsidRPr="00DE79CB">
        <w:rPr>
          <w:rFonts w:ascii="Verdana" w:eastAsia="Verdana" w:hAnsi="Verdana" w:cs="Verdana"/>
          <w:sz w:val="18"/>
          <w:szCs w:val="18"/>
          <w:lang w:val="en-US"/>
        </w:rPr>
        <w:br/>
        <w:t xml:space="preserve">Within </w:t>
      </w:r>
      <w:r w:rsidR="003E591C" w:rsidRPr="00DE79CB">
        <w:rPr>
          <w:rFonts w:ascii="Verdana" w:eastAsia="Verdana" w:hAnsi="Verdana" w:cs="Verdana"/>
          <w:sz w:val="18"/>
          <w:szCs w:val="18"/>
          <w:lang w:val="en-US"/>
        </w:rPr>
        <w:t xml:space="preserve">the scope of this </w:t>
      </w:r>
      <w:r w:rsidR="00B62757" w:rsidRPr="00DE79CB">
        <w:rPr>
          <w:rFonts w:ascii="Verdana" w:eastAsia="Verdana" w:hAnsi="Verdana" w:cs="Verdana"/>
          <w:sz w:val="18"/>
          <w:szCs w:val="18"/>
          <w:lang w:val="en-US"/>
        </w:rPr>
        <w:t>grant</w:t>
      </w:r>
      <w:r w:rsidR="003E591C" w:rsidRPr="00DE79CB">
        <w:rPr>
          <w:rFonts w:ascii="Verdana" w:eastAsia="Verdana" w:hAnsi="Verdana" w:cs="Verdana"/>
          <w:sz w:val="18"/>
          <w:szCs w:val="18"/>
          <w:lang w:val="en-US"/>
        </w:rPr>
        <w:t xml:space="preserve"> framework, </w:t>
      </w:r>
      <w:r w:rsidR="000616F2" w:rsidRPr="00DE79CB">
        <w:rPr>
          <w:rFonts w:ascii="Verdana" w:eastAsia="Verdana" w:hAnsi="Verdana" w:cs="Verdana"/>
          <w:sz w:val="18"/>
          <w:szCs w:val="18"/>
          <w:lang w:val="en-US"/>
        </w:rPr>
        <w:t>36</w:t>
      </w:r>
      <w:r w:rsidR="003E591C" w:rsidRPr="00DE79CB">
        <w:rPr>
          <w:rFonts w:ascii="Verdana" w:eastAsia="Verdana" w:hAnsi="Verdana" w:cs="Verdana"/>
          <w:sz w:val="18"/>
          <w:szCs w:val="18"/>
          <w:lang w:val="en-US"/>
        </w:rPr>
        <w:t xml:space="preserve"> types of raw materials are included, consisting of:</w:t>
      </w:r>
      <w:r w:rsidR="000F170C" w:rsidRPr="00DE79CB">
        <w:rPr>
          <w:rFonts w:ascii="Verdana" w:eastAsia="Verdana" w:hAnsi="Verdana" w:cs="Verdana"/>
          <w:b/>
          <w:bCs/>
          <w:sz w:val="18"/>
          <w:szCs w:val="18"/>
          <w:lang w:val="en-US"/>
        </w:rPr>
        <w:t>1)</w:t>
      </w:r>
      <w:r w:rsidR="000F170C" w:rsidRPr="00DE79CB">
        <w:rPr>
          <w:rFonts w:ascii="Verdana" w:eastAsia="Verdana" w:hAnsi="Verdana" w:cs="Verdana"/>
          <w:sz w:val="18"/>
          <w:szCs w:val="18"/>
          <w:lang w:val="en-US"/>
        </w:rPr>
        <w:t> minerals and/or metals that fall under (European) RBC standards, such as the Conflict Minerals Regulation (gold, tin, tantalum and tungsten</w:t>
      </w:r>
      <w:r w:rsidR="000F170C" w:rsidRPr="00DE79CB">
        <w:rPr>
          <w:rStyle w:val="Voetnootmarkering"/>
          <w:rFonts w:ascii="Verdana" w:eastAsia="Verdana" w:hAnsi="Verdana" w:cs="Verdana"/>
          <w:sz w:val="18"/>
          <w:szCs w:val="18"/>
          <w:lang w:val="en-US"/>
        </w:rPr>
        <w:footnoteReference w:id="27"/>
      </w:r>
      <w:r w:rsidR="000F170C" w:rsidRPr="00DE79CB">
        <w:rPr>
          <w:rFonts w:ascii="Verdana" w:eastAsia="Verdana" w:hAnsi="Verdana" w:cs="Verdana"/>
          <w:sz w:val="18"/>
          <w:szCs w:val="18"/>
          <w:lang w:val="en-US"/>
        </w:rPr>
        <w:t>) and the Batteries Regulation (cobalt, natural graphite, lithium and nickel</w:t>
      </w:r>
      <w:r w:rsidR="000F170C" w:rsidRPr="00DE79CB">
        <w:rPr>
          <w:rStyle w:val="Voetnootmarkering"/>
          <w:rFonts w:ascii="Verdana" w:eastAsia="Verdana" w:hAnsi="Verdana" w:cs="Verdana"/>
          <w:sz w:val="18"/>
          <w:szCs w:val="18"/>
          <w:lang w:val="en-US"/>
        </w:rPr>
        <w:footnoteReference w:id="28"/>
      </w:r>
      <w:r w:rsidR="000F170C" w:rsidRPr="00DE79CB">
        <w:rPr>
          <w:rFonts w:ascii="Verdana" w:eastAsia="Verdana" w:hAnsi="Verdana" w:cs="Verdana"/>
          <w:sz w:val="18"/>
          <w:szCs w:val="18"/>
          <w:lang w:val="en-US"/>
        </w:rPr>
        <w:t>); and/or </w:t>
      </w:r>
      <w:r w:rsidR="000F170C" w:rsidRPr="00DE79CB">
        <w:rPr>
          <w:rFonts w:ascii="Verdana" w:eastAsia="Verdana" w:hAnsi="Verdana" w:cs="Verdana"/>
          <w:b/>
          <w:bCs/>
          <w:sz w:val="18"/>
          <w:szCs w:val="18"/>
          <w:lang w:val="en-US"/>
        </w:rPr>
        <w:t>2)</w:t>
      </w:r>
      <w:r w:rsidR="000F170C" w:rsidRPr="00DE79CB">
        <w:rPr>
          <w:rFonts w:ascii="Verdana" w:eastAsia="Verdana" w:hAnsi="Verdana" w:cs="Verdana"/>
          <w:sz w:val="18"/>
          <w:szCs w:val="18"/>
          <w:lang w:val="en-US"/>
        </w:rPr>
        <w:t> raw materials that are critical for the Netherlands and the EU</w:t>
      </w:r>
      <w:r w:rsidR="003E591C" w:rsidRPr="00DE79CB">
        <w:rPr>
          <w:rFonts w:ascii="Verdana" w:eastAsia="Verdana" w:hAnsi="Verdana" w:cs="Verdana"/>
          <w:sz w:val="18"/>
          <w:szCs w:val="18"/>
          <w:lang w:val="en-US"/>
        </w:rPr>
        <w:t>, as defined in the EU list of critical and strategic raw materials</w:t>
      </w:r>
      <w:r w:rsidR="000F170C" w:rsidRPr="00DE79CB">
        <w:rPr>
          <w:rFonts w:ascii="Verdana" w:eastAsia="Verdana" w:hAnsi="Verdana" w:cs="Verdana"/>
          <w:sz w:val="18"/>
          <w:szCs w:val="18"/>
          <w:lang w:val="en-US"/>
        </w:rPr>
        <w:t>.</w:t>
      </w:r>
      <w:r w:rsidR="003E591C" w:rsidRPr="00DE79CB">
        <w:rPr>
          <w:rFonts w:ascii="Verdana" w:eastAsia="Verdana" w:hAnsi="Verdana" w:cs="Verdana"/>
          <w:sz w:val="18"/>
          <w:szCs w:val="18"/>
          <w:lang w:val="en-US"/>
        </w:rPr>
        <w:t xml:space="preserve"> </w:t>
      </w:r>
      <w:r w:rsidR="000F170C" w:rsidRPr="00DE79CB">
        <w:rPr>
          <w:rFonts w:ascii="Verdana" w:eastAsia="Verdana" w:hAnsi="Verdana" w:cs="Verdana"/>
          <w:sz w:val="18"/>
          <w:szCs w:val="18"/>
          <w:lang w:val="en-US"/>
        </w:rPr>
        <w:t>Currently, th</w:t>
      </w:r>
      <w:r w:rsidR="003E591C" w:rsidRPr="00DE79CB">
        <w:rPr>
          <w:rFonts w:ascii="Verdana" w:eastAsia="Verdana" w:hAnsi="Verdana" w:cs="Verdana"/>
          <w:sz w:val="18"/>
          <w:szCs w:val="18"/>
          <w:lang w:val="en-US"/>
        </w:rPr>
        <w:t>is list includes</w:t>
      </w:r>
      <w:r w:rsidR="000F170C" w:rsidRPr="00DE79CB">
        <w:rPr>
          <w:rFonts w:ascii="Verdana" w:eastAsia="Verdana" w:hAnsi="Verdana" w:cs="Verdana"/>
          <w:sz w:val="18"/>
          <w:szCs w:val="18"/>
          <w:lang w:val="en-US"/>
        </w:rPr>
        <w:t xml:space="preserve"> 34 raw materials </w:t>
      </w:r>
      <w:r w:rsidR="003E591C" w:rsidRPr="00DE79CB">
        <w:rPr>
          <w:rFonts w:ascii="Verdana" w:eastAsia="Verdana" w:hAnsi="Verdana" w:cs="Verdana"/>
          <w:sz w:val="18"/>
          <w:szCs w:val="18"/>
          <w:lang w:val="en-US"/>
        </w:rPr>
        <w:t xml:space="preserve">and </w:t>
      </w:r>
      <w:r w:rsidR="000F170C" w:rsidRPr="00DE79CB">
        <w:rPr>
          <w:rFonts w:ascii="Verdana" w:eastAsia="Verdana" w:hAnsi="Verdana" w:cs="Verdana"/>
          <w:sz w:val="18"/>
          <w:szCs w:val="18"/>
          <w:lang w:val="en-US"/>
        </w:rPr>
        <w:t>is updated every three years</w:t>
      </w:r>
      <w:r w:rsidR="000F170C" w:rsidRPr="00DE79CB">
        <w:rPr>
          <w:rStyle w:val="Voetnootmarkering"/>
          <w:rFonts w:ascii="Verdana" w:eastAsia="Verdana" w:hAnsi="Verdana" w:cs="Verdana"/>
          <w:sz w:val="18"/>
          <w:szCs w:val="18"/>
          <w:lang w:val="en-US"/>
        </w:rPr>
        <w:footnoteReference w:id="29"/>
      </w:r>
      <w:r w:rsidR="000F170C" w:rsidRPr="00DE79CB">
        <w:rPr>
          <w:rFonts w:ascii="Verdana" w:eastAsia="Verdana" w:hAnsi="Verdana" w:cs="Verdana"/>
          <w:sz w:val="18"/>
          <w:szCs w:val="18"/>
          <w:lang w:val="en-US"/>
        </w:rPr>
        <w:t>.  </w:t>
      </w:r>
    </w:p>
    <w:p w14:paraId="7C5A320E" w14:textId="77777777" w:rsidR="000F170C" w:rsidRPr="00DE79CB" w:rsidRDefault="000F170C" w:rsidP="000F170C">
      <w:pPr>
        <w:spacing w:after="0" w:line="240" w:lineRule="auto"/>
        <w:rPr>
          <w:rFonts w:ascii="Verdana" w:eastAsia="Verdana" w:hAnsi="Verdana" w:cs="Verdana"/>
          <w:sz w:val="18"/>
          <w:szCs w:val="18"/>
          <w:u w:val="single"/>
          <w:lang w:val="en-US"/>
        </w:rPr>
      </w:pPr>
    </w:p>
    <w:p w14:paraId="4D70E3D4" w14:textId="51982FA5" w:rsidR="007B0CEF" w:rsidRPr="00DE79CB" w:rsidRDefault="000F170C" w:rsidP="003C297D">
      <w:pPr>
        <w:spacing w:after="0"/>
        <w:rPr>
          <w:rFonts w:ascii="Verdana" w:eastAsia="Verdana" w:hAnsi="Verdana" w:cs="Verdana"/>
          <w:sz w:val="18"/>
          <w:szCs w:val="18"/>
          <w:lang w:val="en-US"/>
        </w:rPr>
      </w:pPr>
      <w:r w:rsidRPr="00DE79CB">
        <w:rPr>
          <w:rFonts w:ascii="Verdana" w:eastAsia="Verdana" w:hAnsi="Verdana" w:cs="Verdana"/>
          <w:sz w:val="18"/>
          <w:szCs w:val="18"/>
          <w:u w:val="single"/>
          <w:lang w:val="en-US"/>
        </w:rPr>
        <w:t>Garments/textiles</w:t>
      </w:r>
      <w:r w:rsidRPr="00DE79CB">
        <w:rPr>
          <w:rFonts w:ascii="Verdana" w:eastAsia="Verdana" w:hAnsi="Verdana" w:cs="Verdana"/>
          <w:sz w:val="18"/>
          <w:szCs w:val="18"/>
          <w:lang w:val="en-US"/>
        </w:rPr>
        <w:t> </w:t>
      </w:r>
      <w:r w:rsidRPr="00DE79CB">
        <w:rPr>
          <w:rFonts w:ascii="Verdana" w:eastAsia="Verdana" w:hAnsi="Verdana" w:cs="Verdana"/>
          <w:sz w:val="18"/>
          <w:szCs w:val="18"/>
          <w:lang w:val="en-US"/>
        </w:rPr>
        <w:br/>
      </w:r>
      <w:r w:rsidR="007B0CEF" w:rsidRPr="00DE79CB">
        <w:rPr>
          <w:rFonts w:ascii="Verdana" w:eastAsia="Verdana" w:hAnsi="Verdana" w:cs="Verdana"/>
          <w:sz w:val="18"/>
          <w:szCs w:val="18"/>
          <w:lang w:val="en-US"/>
        </w:rPr>
        <w:t>This sector includes both raw materials processed into textiles, such as yarns and fabrics, as well as garments and footwear. Raw materials such as cotton are explicitly excluded from this category.</w:t>
      </w:r>
    </w:p>
    <w:p w14:paraId="2B3F344E" w14:textId="2F174525" w:rsidR="000F170C" w:rsidRPr="00DE79CB" w:rsidRDefault="000F170C" w:rsidP="000F170C">
      <w:pPr>
        <w:spacing w:after="0" w:line="240" w:lineRule="auto"/>
        <w:rPr>
          <w:rFonts w:ascii="Verdana" w:eastAsia="Verdana" w:hAnsi="Verdana" w:cs="Verdana"/>
          <w:sz w:val="18"/>
          <w:szCs w:val="18"/>
          <w:lang w:val="en-US"/>
        </w:rPr>
      </w:pPr>
    </w:p>
    <w:p w14:paraId="32C6597F" w14:textId="77777777" w:rsidR="000F170C" w:rsidRPr="00DE79CB" w:rsidRDefault="000F170C" w:rsidP="000F170C">
      <w:pPr>
        <w:spacing w:after="0" w:line="240" w:lineRule="auto"/>
        <w:rPr>
          <w:rFonts w:ascii="Verdana" w:eastAsia="Verdana" w:hAnsi="Verdana" w:cs="Verdana"/>
          <w:sz w:val="18"/>
          <w:szCs w:val="18"/>
          <w:lang w:val="en-US"/>
        </w:rPr>
      </w:pPr>
    </w:p>
    <w:p w14:paraId="7E6429B6" w14:textId="5D966634" w:rsidR="000F170C" w:rsidRPr="00DE79CB" w:rsidRDefault="000F170C" w:rsidP="000F170C">
      <w:pPr>
        <w:spacing w:after="0" w:line="240" w:lineRule="auto"/>
        <w:rPr>
          <w:rFonts w:ascii="Verdana" w:eastAsia="Verdana" w:hAnsi="Verdana" w:cs="Verdana"/>
          <w:sz w:val="18"/>
          <w:szCs w:val="18"/>
          <w:lang w:val="en-US"/>
        </w:rPr>
      </w:pPr>
      <w:r w:rsidRPr="00DE79CB">
        <w:rPr>
          <w:rFonts w:ascii="Verdana" w:eastAsia="Verdana" w:hAnsi="Verdana" w:cs="Verdana"/>
          <w:sz w:val="18"/>
          <w:szCs w:val="18"/>
          <w:u w:val="single"/>
          <w:lang w:val="en-US"/>
        </w:rPr>
        <w:t xml:space="preserve">List of </w:t>
      </w:r>
      <w:r w:rsidR="007B0CEF" w:rsidRPr="00DE79CB">
        <w:rPr>
          <w:rFonts w:ascii="Verdana" w:eastAsia="Verdana" w:hAnsi="Verdana" w:cs="Verdana"/>
          <w:sz w:val="18"/>
          <w:szCs w:val="18"/>
          <w:u w:val="single"/>
          <w:lang w:val="en-US"/>
        </w:rPr>
        <w:t>focus</w:t>
      </w:r>
      <w:r w:rsidRPr="00DE79CB">
        <w:rPr>
          <w:rFonts w:ascii="Verdana" w:eastAsia="Verdana" w:hAnsi="Verdana" w:cs="Verdana"/>
          <w:sz w:val="18"/>
          <w:szCs w:val="18"/>
          <w:u w:val="single"/>
          <w:lang w:val="en-US"/>
        </w:rPr>
        <w:t xml:space="preserve"> sectors</w:t>
      </w:r>
      <w:r w:rsidR="007B0CEF" w:rsidRPr="00DE79CB">
        <w:rPr>
          <w:rFonts w:ascii="Verdana" w:eastAsia="Verdana" w:hAnsi="Verdana" w:cs="Verdana"/>
          <w:sz w:val="18"/>
          <w:szCs w:val="18"/>
          <w:u w:val="single"/>
          <w:lang w:val="en-US"/>
        </w:rPr>
        <w:t xml:space="preserve">, </w:t>
      </w:r>
      <w:r w:rsidRPr="00DE79CB">
        <w:rPr>
          <w:rFonts w:ascii="Verdana" w:eastAsia="Verdana" w:hAnsi="Verdana" w:cs="Verdana"/>
          <w:sz w:val="18"/>
          <w:szCs w:val="18"/>
          <w:u w:val="single"/>
          <w:lang w:val="en-US"/>
        </w:rPr>
        <w:t>value chains</w:t>
      </w:r>
      <w:r w:rsidR="007B0CEF" w:rsidRPr="00DE79CB">
        <w:rPr>
          <w:rFonts w:ascii="Verdana" w:eastAsia="Verdana" w:hAnsi="Verdana" w:cs="Verdana"/>
          <w:sz w:val="18"/>
          <w:szCs w:val="18"/>
          <w:u w:val="single"/>
          <w:lang w:val="en-US"/>
        </w:rPr>
        <w:t xml:space="preserve"> and policy priorities</w:t>
      </w:r>
      <w:r w:rsidRPr="00DE79CB">
        <w:rPr>
          <w:rFonts w:ascii="Verdana" w:eastAsia="Verdana" w:hAnsi="Verdana" w:cs="Verdana"/>
          <w:sz w:val="18"/>
          <w:szCs w:val="18"/>
          <w:u w:val="single"/>
          <w:lang w:val="en-US"/>
        </w:rPr>
        <w:t xml:space="preserve"> per </w:t>
      </w:r>
      <w:r w:rsidR="007B0CEF" w:rsidRPr="00DE79CB">
        <w:rPr>
          <w:rFonts w:ascii="Verdana" w:eastAsia="Verdana" w:hAnsi="Verdana" w:cs="Verdana"/>
          <w:sz w:val="18"/>
          <w:szCs w:val="18"/>
          <w:u w:val="single"/>
          <w:lang w:val="en-US"/>
        </w:rPr>
        <w:t xml:space="preserve">target </w:t>
      </w:r>
      <w:r w:rsidRPr="00DE79CB">
        <w:rPr>
          <w:rFonts w:ascii="Verdana" w:eastAsia="Verdana" w:hAnsi="Verdana" w:cs="Verdana"/>
          <w:sz w:val="18"/>
          <w:szCs w:val="18"/>
          <w:u w:val="single"/>
          <w:lang w:val="en-US"/>
        </w:rPr>
        <w:t>country</w:t>
      </w:r>
      <w:r w:rsidRPr="00DE79CB">
        <w:rPr>
          <w:rFonts w:ascii="Verdana" w:eastAsia="Verdana" w:hAnsi="Verdana" w:cs="Verdana"/>
          <w:sz w:val="18"/>
          <w:szCs w:val="18"/>
          <w:lang w:val="en-US"/>
        </w:rPr>
        <w:t> </w:t>
      </w:r>
    </w:p>
    <w:p w14:paraId="63A11D62" w14:textId="77777777" w:rsidR="000F170C" w:rsidRPr="00DE79CB" w:rsidRDefault="000F170C" w:rsidP="000F170C">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 </w:t>
      </w:r>
    </w:p>
    <w:tbl>
      <w:tblPr>
        <w:tblW w:w="90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4"/>
        <w:gridCol w:w="863"/>
        <w:gridCol w:w="1732"/>
        <w:gridCol w:w="5213"/>
      </w:tblGrid>
      <w:tr w:rsidR="000F170C" w:rsidRPr="00DE79CB" w14:paraId="45068036" w14:textId="77777777" w:rsidTr="004E7734">
        <w:trPr>
          <w:trHeight w:val="450"/>
        </w:trPr>
        <w:tc>
          <w:tcPr>
            <w:tcW w:w="1264" w:type="dxa"/>
            <w:tcBorders>
              <w:top w:val="nil"/>
              <w:left w:val="nil"/>
              <w:bottom w:val="nil"/>
              <w:right w:val="nil"/>
            </w:tcBorders>
            <w:vAlign w:val="bottom"/>
            <w:hideMark/>
          </w:tcPr>
          <w:p w14:paraId="36F11297" w14:textId="77777777" w:rsidR="000F170C" w:rsidRPr="00DE79CB" w:rsidRDefault="000F170C"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 </w:t>
            </w:r>
          </w:p>
        </w:tc>
        <w:tc>
          <w:tcPr>
            <w:tcW w:w="863" w:type="dxa"/>
            <w:tcBorders>
              <w:top w:val="single" w:sz="6" w:space="0" w:color="FFFFFF"/>
              <w:left w:val="single" w:sz="6" w:space="0" w:color="FFFFFF"/>
              <w:bottom w:val="single" w:sz="6" w:space="0" w:color="FFFFFF"/>
              <w:right w:val="nil"/>
            </w:tcBorders>
            <w:shd w:val="clear" w:color="auto" w:fill="D9D9D9"/>
            <w:vAlign w:val="center"/>
            <w:hideMark/>
          </w:tcPr>
          <w:p w14:paraId="59630A76" w14:textId="77777777"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i/>
                <w:iCs/>
                <w:sz w:val="18"/>
                <w:szCs w:val="18"/>
              </w:rPr>
              <w:t>Treshold</w:t>
            </w:r>
            <w:proofErr w:type="spellEnd"/>
            <w:r w:rsidRPr="00DE79CB">
              <w:rPr>
                <w:rFonts w:ascii="Verdana" w:eastAsia="Verdana" w:hAnsi="Verdana" w:cs="Verdana"/>
                <w:i/>
                <w:iCs/>
                <w:sz w:val="18"/>
                <w:szCs w:val="18"/>
              </w:rPr>
              <w:t> criteria</w:t>
            </w:r>
            <w:r w:rsidRPr="00DE79CB">
              <w:rPr>
                <w:rFonts w:ascii="Verdana" w:eastAsia="Verdana" w:hAnsi="Verdana" w:cs="Verdana"/>
                <w:sz w:val="18"/>
                <w:szCs w:val="18"/>
              </w:rPr>
              <w:t> </w:t>
            </w:r>
          </w:p>
        </w:tc>
        <w:tc>
          <w:tcPr>
            <w:tcW w:w="6945" w:type="dxa"/>
            <w:gridSpan w:val="2"/>
            <w:tcBorders>
              <w:top w:val="single" w:sz="6" w:space="0" w:color="FFFFFF"/>
              <w:left w:val="single" w:sz="6" w:space="0" w:color="FFFFFF"/>
              <w:bottom w:val="single" w:sz="6" w:space="0" w:color="FFFFFF"/>
              <w:right w:val="nil"/>
            </w:tcBorders>
            <w:shd w:val="clear" w:color="auto" w:fill="D9D9D9"/>
            <w:vAlign w:val="center"/>
            <w:hideMark/>
          </w:tcPr>
          <w:p w14:paraId="47954861"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i/>
                <w:iCs/>
                <w:sz w:val="18"/>
                <w:szCs w:val="18"/>
              </w:rPr>
              <w:t>Input </w:t>
            </w:r>
            <w:proofErr w:type="spellStart"/>
            <w:r w:rsidRPr="00DE79CB">
              <w:rPr>
                <w:rFonts w:ascii="Verdana" w:eastAsia="Verdana" w:hAnsi="Verdana" w:cs="Verdana"/>
                <w:i/>
                <w:iCs/>
                <w:sz w:val="18"/>
                <w:szCs w:val="18"/>
              </w:rPr>
              <w:t>for</w:t>
            </w:r>
            <w:proofErr w:type="spellEnd"/>
            <w:r w:rsidRPr="00DE79CB">
              <w:rPr>
                <w:rFonts w:ascii="Verdana" w:eastAsia="Verdana" w:hAnsi="Verdana" w:cs="Verdana"/>
                <w:i/>
                <w:iCs/>
                <w:sz w:val="18"/>
                <w:szCs w:val="18"/>
              </w:rPr>
              <w:t> assessment</w:t>
            </w:r>
            <w:r w:rsidRPr="00DE79CB">
              <w:rPr>
                <w:rFonts w:ascii="Verdana" w:eastAsia="Verdana" w:hAnsi="Verdana" w:cs="Verdana"/>
                <w:sz w:val="18"/>
                <w:szCs w:val="18"/>
              </w:rPr>
              <w:t> </w:t>
            </w:r>
          </w:p>
        </w:tc>
      </w:tr>
      <w:tr w:rsidR="000F170C" w:rsidRPr="00DE79CB" w14:paraId="2C39813D" w14:textId="77777777" w:rsidTr="004E7734">
        <w:trPr>
          <w:trHeight w:val="630"/>
        </w:trPr>
        <w:tc>
          <w:tcPr>
            <w:tcW w:w="1264" w:type="dxa"/>
            <w:tcBorders>
              <w:top w:val="single" w:sz="6" w:space="0" w:color="FFFFFF"/>
              <w:left w:val="single" w:sz="6" w:space="0" w:color="FFFFFF"/>
              <w:bottom w:val="single" w:sz="6" w:space="0" w:color="FFFFFF"/>
              <w:right w:val="single" w:sz="6" w:space="0" w:color="FFFFFF"/>
            </w:tcBorders>
            <w:shd w:val="clear" w:color="auto" w:fill="8ED973"/>
            <w:vAlign w:val="bottom"/>
            <w:hideMark/>
          </w:tcPr>
          <w:p w14:paraId="257182B1"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b/>
                <w:bCs/>
                <w:sz w:val="18"/>
                <w:szCs w:val="18"/>
              </w:rPr>
              <w:t>Country</w:t>
            </w:r>
            <w:r w:rsidRPr="00DE79CB">
              <w:rPr>
                <w:rFonts w:ascii="Verdana" w:eastAsia="Verdana" w:hAnsi="Verdana" w:cs="Verdana"/>
                <w:sz w:val="18"/>
                <w:szCs w:val="18"/>
              </w:rPr>
              <w:t> </w:t>
            </w:r>
          </w:p>
        </w:tc>
        <w:tc>
          <w:tcPr>
            <w:tcW w:w="863" w:type="dxa"/>
            <w:tcBorders>
              <w:top w:val="nil"/>
              <w:left w:val="nil"/>
              <w:bottom w:val="single" w:sz="6" w:space="0" w:color="FFFFFF"/>
              <w:right w:val="single" w:sz="6" w:space="0" w:color="FFFFFF"/>
            </w:tcBorders>
            <w:shd w:val="clear" w:color="auto" w:fill="8ED973"/>
            <w:vAlign w:val="center"/>
            <w:hideMark/>
          </w:tcPr>
          <w:p w14:paraId="0EAF896F"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b/>
                <w:bCs/>
                <w:sz w:val="18"/>
                <w:szCs w:val="18"/>
              </w:rPr>
              <w:t>Focus sectors</w:t>
            </w:r>
            <w:r w:rsidRPr="00DE79CB">
              <w:rPr>
                <w:rFonts w:ascii="Verdana" w:eastAsia="Verdana" w:hAnsi="Verdana" w:cs="Verdana"/>
                <w:sz w:val="18"/>
                <w:szCs w:val="18"/>
              </w:rPr>
              <w:t> </w:t>
            </w:r>
          </w:p>
        </w:tc>
        <w:tc>
          <w:tcPr>
            <w:tcW w:w="1732" w:type="dxa"/>
            <w:tcBorders>
              <w:top w:val="nil"/>
              <w:left w:val="nil"/>
              <w:bottom w:val="single" w:sz="6" w:space="0" w:color="FFFFFF"/>
              <w:right w:val="single" w:sz="6" w:space="0" w:color="FFFFFF"/>
            </w:tcBorders>
            <w:shd w:val="clear" w:color="auto" w:fill="8ED973"/>
            <w:vAlign w:val="bottom"/>
            <w:hideMark/>
          </w:tcPr>
          <w:p w14:paraId="7F382596" w14:textId="77777777"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b/>
                <w:bCs/>
                <w:sz w:val="18"/>
                <w:szCs w:val="18"/>
              </w:rPr>
              <w:t>Key</w:t>
            </w:r>
            <w:proofErr w:type="spellEnd"/>
            <w:r w:rsidRPr="00DE79CB">
              <w:rPr>
                <w:rFonts w:ascii="Verdana" w:eastAsia="Verdana" w:hAnsi="Verdana" w:cs="Verdana"/>
                <w:b/>
                <w:bCs/>
                <w:sz w:val="18"/>
                <w:szCs w:val="18"/>
              </w:rPr>
              <w:t> </w:t>
            </w:r>
            <w:proofErr w:type="spellStart"/>
            <w:r w:rsidRPr="00DE79CB">
              <w:rPr>
                <w:rFonts w:ascii="Verdana" w:eastAsia="Verdana" w:hAnsi="Verdana" w:cs="Verdana"/>
                <w:b/>
                <w:bCs/>
                <w:sz w:val="18"/>
                <w:szCs w:val="18"/>
              </w:rPr>
              <w:t>valuechains</w:t>
            </w:r>
            <w:proofErr w:type="spellEnd"/>
            <w:r w:rsidRPr="00DE79CB">
              <w:rPr>
                <w:rFonts w:ascii="Verdana" w:eastAsia="Verdana" w:hAnsi="Verdana" w:cs="Verdana"/>
                <w:sz w:val="18"/>
                <w:szCs w:val="18"/>
              </w:rPr>
              <w:t> </w:t>
            </w:r>
          </w:p>
        </w:tc>
        <w:tc>
          <w:tcPr>
            <w:tcW w:w="5213" w:type="dxa"/>
            <w:tcBorders>
              <w:top w:val="nil"/>
              <w:left w:val="nil"/>
              <w:bottom w:val="single" w:sz="6" w:space="0" w:color="FFFFFF"/>
              <w:right w:val="single" w:sz="6" w:space="0" w:color="FFFFFF"/>
            </w:tcBorders>
            <w:shd w:val="clear" w:color="auto" w:fill="8ED973"/>
            <w:vAlign w:val="bottom"/>
            <w:hideMark/>
          </w:tcPr>
          <w:p w14:paraId="2806E986" w14:textId="77777777" w:rsidR="000F170C" w:rsidRPr="00DE79CB" w:rsidRDefault="000F170C" w:rsidP="004E7734">
            <w:pPr>
              <w:spacing w:after="0" w:line="240" w:lineRule="auto"/>
              <w:rPr>
                <w:rFonts w:ascii="Verdana" w:eastAsia="Verdana" w:hAnsi="Verdana" w:cs="Verdana"/>
                <w:sz w:val="18"/>
                <w:szCs w:val="18"/>
                <w:lang w:val="en-US"/>
              </w:rPr>
            </w:pPr>
            <w:r w:rsidRPr="00DE79CB">
              <w:rPr>
                <w:rFonts w:ascii="Verdana" w:eastAsia="Verdana" w:hAnsi="Verdana" w:cs="Verdana"/>
                <w:b/>
                <w:bCs/>
                <w:sz w:val="18"/>
                <w:szCs w:val="18"/>
                <w:lang w:val="en-US"/>
              </w:rPr>
              <w:t>Embassy focus within </w:t>
            </w:r>
            <w:proofErr w:type="spellStart"/>
            <w:r w:rsidRPr="00DE79CB">
              <w:rPr>
                <w:rFonts w:ascii="Verdana" w:eastAsia="Verdana" w:hAnsi="Verdana" w:cs="Verdana"/>
                <w:b/>
                <w:bCs/>
                <w:sz w:val="18"/>
                <w:szCs w:val="18"/>
                <w:lang w:val="en-US"/>
              </w:rPr>
              <w:t>valuechain</w:t>
            </w:r>
            <w:proofErr w:type="spellEnd"/>
            <w:r w:rsidRPr="00DE79CB">
              <w:rPr>
                <w:rFonts w:ascii="Verdana" w:eastAsia="Verdana" w:hAnsi="Verdana" w:cs="Verdana"/>
                <w:b/>
                <w:bCs/>
                <w:sz w:val="18"/>
                <w:szCs w:val="18"/>
                <w:lang w:val="en-US"/>
              </w:rPr>
              <w:t> (e.g. topics, bottlenecks, target groups)</w:t>
            </w:r>
            <w:r w:rsidRPr="00DE79CB">
              <w:rPr>
                <w:rFonts w:ascii="Verdana" w:eastAsia="Verdana" w:hAnsi="Verdana" w:cs="Verdana"/>
                <w:sz w:val="18"/>
                <w:szCs w:val="18"/>
                <w:lang w:val="en-US"/>
              </w:rPr>
              <w:t> </w:t>
            </w:r>
          </w:p>
        </w:tc>
      </w:tr>
      <w:tr w:rsidR="000F170C" w:rsidRPr="00DE79CB" w14:paraId="1EED6DF7" w14:textId="77777777" w:rsidTr="004E7734">
        <w:trPr>
          <w:trHeight w:val="450"/>
        </w:trPr>
        <w:tc>
          <w:tcPr>
            <w:tcW w:w="1264" w:type="dxa"/>
            <w:vMerge w:val="restart"/>
            <w:tcBorders>
              <w:top w:val="nil"/>
              <w:left w:val="single" w:sz="6" w:space="0" w:color="FFFFFF"/>
              <w:bottom w:val="nil"/>
              <w:right w:val="single" w:sz="6" w:space="0" w:color="FFFFFF"/>
            </w:tcBorders>
            <w:shd w:val="clear" w:color="auto" w:fill="E8E8E8"/>
            <w:vAlign w:val="center"/>
            <w:hideMark/>
          </w:tcPr>
          <w:p w14:paraId="351FC68B"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Bangladesh </w:t>
            </w:r>
          </w:p>
        </w:tc>
        <w:tc>
          <w:tcPr>
            <w:tcW w:w="863" w:type="dxa"/>
            <w:tcBorders>
              <w:top w:val="nil"/>
              <w:left w:val="nil"/>
              <w:bottom w:val="single" w:sz="6" w:space="0" w:color="FFFFFF"/>
              <w:right w:val="single" w:sz="6" w:space="0" w:color="FFFFFF"/>
            </w:tcBorders>
            <w:shd w:val="clear" w:color="auto" w:fill="E8E8E8"/>
            <w:vAlign w:val="center"/>
            <w:hideMark/>
          </w:tcPr>
          <w:p w14:paraId="1F10A3FB" w14:textId="3982235E"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Agri</w:t>
            </w:r>
            <w:r w:rsidR="00651AE4" w:rsidRPr="00DE79CB">
              <w:rPr>
                <w:rFonts w:ascii="Verdana" w:eastAsia="Verdana" w:hAnsi="Verdana" w:cs="Verdana"/>
                <w:sz w:val="18"/>
                <w:szCs w:val="18"/>
              </w:rPr>
              <w:t>culture</w:t>
            </w:r>
            <w:proofErr w:type="spellEnd"/>
            <w:r w:rsidRPr="00DE79CB">
              <w:rPr>
                <w:rFonts w:ascii="Verdana" w:eastAsia="Verdana" w:hAnsi="Verdana" w:cs="Verdana"/>
                <w:sz w:val="18"/>
                <w:szCs w:val="18"/>
              </w:rPr>
              <w:t> </w:t>
            </w:r>
          </w:p>
        </w:tc>
        <w:tc>
          <w:tcPr>
            <w:tcW w:w="1732" w:type="dxa"/>
            <w:tcBorders>
              <w:top w:val="nil"/>
              <w:left w:val="nil"/>
              <w:bottom w:val="single" w:sz="6" w:space="0" w:color="FFFFFF"/>
              <w:right w:val="single" w:sz="6" w:space="0" w:color="FFFFFF"/>
            </w:tcBorders>
            <w:shd w:val="clear" w:color="auto" w:fill="E8E8E8"/>
            <w:vAlign w:val="center"/>
            <w:hideMark/>
          </w:tcPr>
          <w:p w14:paraId="5C6F93B9" w14:textId="02AF98D2"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Horti</w:t>
            </w:r>
            <w:r w:rsidR="007B0CEF" w:rsidRPr="00DE79CB">
              <w:rPr>
                <w:rFonts w:ascii="Verdana" w:eastAsia="Verdana" w:hAnsi="Verdana" w:cs="Verdana"/>
                <w:sz w:val="18"/>
                <w:szCs w:val="18"/>
              </w:rPr>
              <w:t>culture</w:t>
            </w:r>
            <w:proofErr w:type="spellEnd"/>
            <w:r w:rsidRPr="00DE79CB">
              <w:rPr>
                <w:rFonts w:ascii="Verdana" w:eastAsia="Verdana" w:hAnsi="Verdana" w:cs="Verdana"/>
                <w:sz w:val="18"/>
                <w:szCs w:val="18"/>
              </w:rPr>
              <w:t>  </w:t>
            </w:r>
          </w:p>
        </w:tc>
        <w:tc>
          <w:tcPr>
            <w:tcW w:w="5213" w:type="dxa"/>
            <w:tcBorders>
              <w:top w:val="nil"/>
              <w:left w:val="nil"/>
              <w:bottom w:val="single" w:sz="6" w:space="0" w:color="FFFFFF"/>
              <w:right w:val="single" w:sz="6" w:space="0" w:color="FFFFFF"/>
            </w:tcBorders>
            <w:shd w:val="clear" w:color="auto" w:fill="E8E8E8"/>
            <w:vAlign w:val="center"/>
            <w:hideMark/>
          </w:tcPr>
          <w:p w14:paraId="3F82FB3F" w14:textId="77777777"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Sustainable</w:t>
            </w:r>
            <w:proofErr w:type="spellEnd"/>
            <w:r w:rsidRPr="00DE79CB">
              <w:rPr>
                <w:rFonts w:ascii="Verdana" w:eastAsia="Verdana" w:hAnsi="Verdana" w:cs="Verdana"/>
                <w:sz w:val="18"/>
                <w:szCs w:val="18"/>
              </w:rPr>
              <w:t> </w:t>
            </w:r>
            <w:proofErr w:type="spellStart"/>
            <w:r w:rsidRPr="00DE79CB">
              <w:rPr>
                <w:rFonts w:ascii="Verdana" w:eastAsia="Verdana" w:hAnsi="Verdana" w:cs="Verdana"/>
                <w:sz w:val="18"/>
                <w:szCs w:val="18"/>
              </w:rPr>
              <w:t>agriculture</w:t>
            </w:r>
            <w:proofErr w:type="spellEnd"/>
            <w:r w:rsidRPr="00DE79CB">
              <w:rPr>
                <w:rFonts w:ascii="Verdana" w:eastAsia="Verdana" w:hAnsi="Verdana" w:cs="Verdana"/>
                <w:sz w:val="18"/>
                <w:szCs w:val="18"/>
              </w:rPr>
              <w:t>  </w:t>
            </w:r>
          </w:p>
        </w:tc>
      </w:tr>
      <w:tr w:rsidR="000F170C" w:rsidRPr="00DE79CB" w14:paraId="744F3609" w14:textId="77777777" w:rsidTr="004E7734">
        <w:trPr>
          <w:trHeight w:val="225"/>
        </w:trPr>
        <w:tc>
          <w:tcPr>
            <w:tcW w:w="1264" w:type="dxa"/>
            <w:vMerge/>
            <w:tcBorders>
              <w:top w:val="nil"/>
              <w:left w:val="single" w:sz="6" w:space="0" w:color="FFFFFF"/>
              <w:bottom w:val="nil"/>
              <w:right w:val="single" w:sz="6" w:space="0" w:color="FFFFFF"/>
            </w:tcBorders>
            <w:vAlign w:val="center"/>
            <w:hideMark/>
          </w:tcPr>
          <w:p w14:paraId="15A05A8D" w14:textId="77777777" w:rsidR="000F170C" w:rsidRPr="00DE79CB" w:rsidRDefault="000F170C" w:rsidP="004E7734">
            <w:pPr>
              <w:spacing w:after="0" w:line="240" w:lineRule="auto"/>
              <w:rPr>
                <w:rFonts w:ascii="Verdana" w:eastAsia="Verdana" w:hAnsi="Verdana" w:cs="Verdana"/>
                <w:sz w:val="18"/>
                <w:szCs w:val="18"/>
              </w:rPr>
            </w:pPr>
          </w:p>
        </w:tc>
        <w:tc>
          <w:tcPr>
            <w:tcW w:w="863" w:type="dxa"/>
            <w:vMerge w:val="restart"/>
            <w:tcBorders>
              <w:top w:val="single" w:sz="6" w:space="0" w:color="FFFFFF"/>
              <w:left w:val="single" w:sz="6" w:space="0" w:color="FFFFFF"/>
              <w:bottom w:val="single" w:sz="6" w:space="0" w:color="FFFFFF"/>
              <w:right w:val="single" w:sz="6" w:space="0" w:color="FFFFFF"/>
            </w:tcBorders>
            <w:shd w:val="clear" w:color="auto" w:fill="E8E8E8"/>
            <w:vAlign w:val="center"/>
            <w:hideMark/>
          </w:tcPr>
          <w:p w14:paraId="43BE8114" w14:textId="77777777"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Textiles</w:t>
            </w:r>
            <w:proofErr w:type="spellEnd"/>
            <w:r w:rsidRPr="00DE79CB">
              <w:rPr>
                <w:rFonts w:ascii="Verdana" w:eastAsia="Verdana" w:hAnsi="Verdana" w:cs="Verdana"/>
                <w:sz w:val="18"/>
                <w:szCs w:val="18"/>
              </w:rPr>
              <w:t> </w:t>
            </w:r>
          </w:p>
        </w:tc>
        <w:tc>
          <w:tcPr>
            <w:tcW w:w="1732" w:type="dxa"/>
            <w:tcBorders>
              <w:top w:val="nil"/>
              <w:left w:val="nil"/>
              <w:bottom w:val="single" w:sz="6" w:space="0" w:color="FFFFFF"/>
              <w:right w:val="single" w:sz="6" w:space="0" w:color="FFFFFF"/>
            </w:tcBorders>
            <w:shd w:val="clear" w:color="auto" w:fill="E8E8E8"/>
            <w:vAlign w:val="center"/>
            <w:hideMark/>
          </w:tcPr>
          <w:p w14:paraId="7E6ABC65" w14:textId="3D6AC614" w:rsidR="000F170C" w:rsidRPr="00DE79CB" w:rsidRDefault="007B0CEF"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Garments</w:t>
            </w:r>
            <w:proofErr w:type="spellEnd"/>
            <w:r w:rsidR="000F170C" w:rsidRPr="00DE79CB">
              <w:rPr>
                <w:rFonts w:ascii="Verdana" w:eastAsia="Verdana" w:hAnsi="Verdana" w:cs="Verdana"/>
                <w:sz w:val="18"/>
                <w:szCs w:val="18"/>
              </w:rPr>
              <w:t> </w:t>
            </w:r>
          </w:p>
        </w:tc>
        <w:tc>
          <w:tcPr>
            <w:tcW w:w="5213" w:type="dxa"/>
            <w:vMerge w:val="restart"/>
            <w:tcBorders>
              <w:top w:val="nil"/>
              <w:left w:val="single" w:sz="6" w:space="0" w:color="FFFFFF"/>
              <w:bottom w:val="single" w:sz="6" w:space="0" w:color="FFFFFF"/>
              <w:right w:val="single" w:sz="6" w:space="0" w:color="FFFFFF"/>
            </w:tcBorders>
            <w:shd w:val="clear" w:color="auto" w:fill="E8E8E8"/>
            <w:hideMark/>
          </w:tcPr>
          <w:p w14:paraId="5FCA709E" w14:textId="77777777" w:rsidR="000F170C" w:rsidRPr="00DE79CB" w:rsidRDefault="000F170C"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Clean production: sustainable water &amp; energy, waste management, technological innovation, alternative financing for circularity R&amp;D, </w:t>
            </w:r>
            <w:proofErr w:type="spellStart"/>
            <w:r w:rsidRPr="00DE79CB">
              <w:rPr>
                <w:rFonts w:ascii="Verdana" w:eastAsia="Verdana" w:hAnsi="Verdana" w:cs="Verdana"/>
                <w:sz w:val="18"/>
                <w:szCs w:val="18"/>
                <w:lang w:val="en-US"/>
              </w:rPr>
              <w:t>circulair</w:t>
            </w:r>
            <w:proofErr w:type="spellEnd"/>
            <w:r w:rsidRPr="00DE79CB">
              <w:rPr>
                <w:rFonts w:ascii="Verdana" w:eastAsia="Verdana" w:hAnsi="Verdana" w:cs="Verdana"/>
                <w:sz w:val="18"/>
                <w:szCs w:val="18"/>
                <w:lang w:val="en-US"/>
              </w:rPr>
              <w:t> design, digitalization for responsible sourcing, labour standards, decent work, social compliance, workers safety &amp; rights, just transition, women and youth </w:t>
            </w:r>
          </w:p>
        </w:tc>
      </w:tr>
      <w:tr w:rsidR="000F170C" w:rsidRPr="00DE79CB" w14:paraId="3FED5661" w14:textId="77777777" w:rsidTr="004E7734">
        <w:trPr>
          <w:trHeight w:val="225"/>
        </w:trPr>
        <w:tc>
          <w:tcPr>
            <w:tcW w:w="1264" w:type="dxa"/>
            <w:vMerge/>
            <w:tcBorders>
              <w:top w:val="nil"/>
              <w:left w:val="single" w:sz="6" w:space="0" w:color="FFFFFF"/>
              <w:bottom w:val="nil"/>
              <w:right w:val="single" w:sz="6" w:space="0" w:color="FFFFFF"/>
            </w:tcBorders>
            <w:vAlign w:val="center"/>
            <w:hideMark/>
          </w:tcPr>
          <w:p w14:paraId="1DD8F2E7" w14:textId="77777777" w:rsidR="000F170C" w:rsidRPr="00DE79CB" w:rsidRDefault="000F170C" w:rsidP="004E7734">
            <w:pPr>
              <w:spacing w:after="0" w:line="240" w:lineRule="auto"/>
              <w:rPr>
                <w:rFonts w:ascii="Verdana" w:eastAsia="Verdana" w:hAnsi="Verdana" w:cs="Verdana"/>
                <w:sz w:val="18"/>
                <w:szCs w:val="18"/>
                <w:lang w:val="en-US"/>
              </w:rPr>
            </w:pPr>
          </w:p>
        </w:tc>
        <w:tc>
          <w:tcPr>
            <w:tcW w:w="863" w:type="dxa"/>
            <w:vMerge/>
            <w:tcBorders>
              <w:top w:val="single" w:sz="6" w:space="0" w:color="FFFFFF"/>
              <w:left w:val="single" w:sz="6" w:space="0" w:color="FFFFFF"/>
              <w:bottom w:val="single" w:sz="6" w:space="0" w:color="FFFFFF"/>
              <w:right w:val="single" w:sz="6" w:space="0" w:color="FFFFFF"/>
            </w:tcBorders>
            <w:vAlign w:val="center"/>
            <w:hideMark/>
          </w:tcPr>
          <w:p w14:paraId="26EB56AB" w14:textId="77777777" w:rsidR="000F170C" w:rsidRPr="00DE79CB" w:rsidRDefault="000F170C" w:rsidP="004E7734">
            <w:pPr>
              <w:spacing w:after="0" w:line="240" w:lineRule="auto"/>
              <w:rPr>
                <w:rFonts w:ascii="Verdana" w:eastAsia="Verdana" w:hAnsi="Verdana" w:cs="Verdana"/>
                <w:sz w:val="18"/>
                <w:szCs w:val="18"/>
                <w:lang w:val="en-US"/>
              </w:rPr>
            </w:pPr>
          </w:p>
        </w:tc>
        <w:tc>
          <w:tcPr>
            <w:tcW w:w="1732" w:type="dxa"/>
            <w:tcBorders>
              <w:top w:val="nil"/>
              <w:left w:val="nil"/>
              <w:bottom w:val="single" w:sz="6" w:space="0" w:color="FFFFFF"/>
              <w:right w:val="single" w:sz="6" w:space="0" w:color="FFFFFF"/>
            </w:tcBorders>
            <w:shd w:val="clear" w:color="auto" w:fill="E8E8E8"/>
            <w:vAlign w:val="center"/>
            <w:hideMark/>
          </w:tcPr>
          <w:p w14:paraId="2D68B44A" w14:textId="77777777"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Textiles</w:t>
            </w:r>
            <w:proofErr w:type="spellEnd"/>
            <w:r w:rsidRPr="00DE79CB">
              <w:rPr>
                <w:rFonts w:ascii="Verdana" w:eastAsia="Verdana" w:hAnsi="Verdana" w:cs="Verdana"/>
                <w:sz w:val="18"/>
                <w:szCs w:val="18"/>
              </w:rPr>
              <w:t> </w:t>
            </w:r>
          </w:p>
        </w:tc>
        <w:tc>
          <w:tcPr>
            <w:tcW w:w="5213" w:type="dxa"/>
            <w:vMerge/>
            <w:tcBorders>
              <w:top w:val="nil"/>
              <w:left w:val="single" w:sz="6" w:space="0" w:color="FFFFFF"/>
              <w:bottom w:val="single" w:sz="6" w:space="0" w:color="FFFFFF"/>
              <w:right w:val="single" w:sz="6" w:space="0" w:color="FFFFFF"/>
            </w:tcBorders>
            <w:vAlign w:val="center"/>
            <w:hideMark/>
          </w:tcPr>
          <w:p w14:paraId="24D95061" w14:textId="77777777" w:rsidR="000F170C" w:rsidRPr="00DE79CB" w:rsidRDefault="000F170C" w:rsidP="004E7734">
            <w:pPr>
              <w:spacing w:after="0" w:line="240" w:lineRule="auto"/>
              <w:rPr>
                <w:rFonts w:ascii="Verdana" w:eastAsia="Verdana" w:hAnsi="Verdana" w:cs="Verdana"/>
                <w:sz w:val="18"/>
                <w:szCs w:val="18"/>
              </w:rPr>
            </w:pPr>
          </w:p>
        </w:tc>
      </w:tr>
      <w:tr w:rsidR="000F170C" w:rsidRPr="00DE79CB" w14:paraId="674C155A" w14:textId="77777777" w:rsidTr="004E7734">
        <w:trPr>
          <w:trHeight w:val="570"/>
        </w:trPr>
        <w:tc>
          <w:tcPr>
            <w:tcW w:w="1264" w:type="dxa"/>
            <w:vMerge w:val="restart"/>
            <w:tcBorders>
              <w:top w:val="single" w:sz="6" w:space="0" w:color="FFFFFF"/>
              <w:left w:val="single" w:sz="6" w:space="0" w:color="FFFFFF"/>
              <w:bottom w:val="single" w:sz="6" w:space="0" w:color="FFFFFF"/>
              <w:right w:val="single" w:sz="6" w:space="0" w:color="FFFFFF"/>
            </w:tcBorders>
            <w:shd w:val="clear" w:color="auto" w:fill="D9D9D9"/>
            <w:vAlign w:val="center"/>
            <w:hideMark/>
          </w:tcPr>
          <w:p w14:paraId="0F17A979"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Benin </w:t>
            </w:r>
          </w:p>
        </w:tc>
        <w:tc>
          <w:tcPr>
            <w:tcW w:w="863" w:type="dxa"/>
            <w:vMerge w:val="restart"/>
            <w:tcBorders>
              <w:top w:val="single" w:sz="6" w:space="0" w:color="FFFFFF"/>
              <w:left w:val="single" w:sz="6" w:space="0" w:color="FFFFFF"/>
              <w:bottom w:val="single" w:sz="6" w:space="0" w:color="FFFFFF"/>
              <w:right w:val="single" w:sz="6" w:space="0" w:color="FFFFFF"/>
            </w:tcBorders>
            <w:shd w:val="clear" w:color="auto" w:fill="D9D9D9"/>
            <w:vAlign w:val="center"/>
            <w:hideMark/>
          </w:tcPr>
          <w:p w14:paraId="19CD3F75" w14:textId="3CAF3A32"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Agri</w:t>
            </w:r>
            <w:r w:rsidR="00651AE4" w:rsidRPr="00DE79CB">
              <w:rPr>
                <w:rFonts w:ascii="Verdana" w:eastAsia="Verdana" w:hAnsi="Verdana" w:cs="Verdana"/>
                <w:sz w:val="18"/>
                <w:szCs w:val="18"/>
              </w:rPr>
              <w:t>culture</w:t>
            </w:r>
            <w:proofErr w:type="spellEnd"/>
            <w:r w:rsidRPr="00DE79CB">
              <w:rPr>
                <w:rFonts w:ascii="Verdana" w:eastAsia="Verdana" w:hAnsi="Verdana" w:cs="Verdana"/>
                <w:sz w:val="18"/>
                <w:szCs w:val="18"/>
              </w:rPr>
              <w:t> </w:t>
            </w:r>
          </w:p>
        </w:tc>
        <w:tc>
          <w:tcPr>
            <w:tcW w:w="1732" w:type="dxa"/>
            <w:tcBorders>
              <w:top w:val="nil"/>
              <w:left w:val="nil"/>
              <w:bottom w:val="single" w:sz="6" w:space="0" w:color="FFFFFF"/>
              <w:right w:val="single" w:sz="6" w:space="0" w:color="FFFFFF"/>
            </w:tcBorders>
            <w:shd w:val="clear" w:color="auto" w:fill="D9D9D9"/>
            <w:vAlign w:val="center"/>
            <w:hideMark/>
          </w:tcPr>
          <w:p w14:paraId="72081D54" w14:textId="477F668A"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Horti</w:t>
            </w:r>
            <w:r w:rsidR="007B0CEF" w:rsidRPr="00DE79CB">
              <w:rPr>
                <w:rFonts w:ascii="Verdana" w:eastAsia="Verdana" w:hAnsi="Verdana" w:cs="Verdana"/>
                <w:sz w:val="18"/>
                <w:szCs w:val="18"/>
              </w:rPr>
              <w:t>culture</w:t>
            </w:r>
            <w:proofErr w:type="spellEnd"/>
            <w:r w:rsidRPr="00DE79CB">
              <w:rPr>
                <w:rFonts w:ascii="Verdana" w:eastAsia="Verdana" w:hAnsi="Verdana" w:cs="Verdana"/>
                <w:sz w:val="18"/>
                <w:szCs w:val="18"/>
              </w:rPr>
              <w:t> </w:t>
            </w:r>
          </w:p>
        </w:tc>
        <w:tc>
          <w:tcPr>
            <w:tcW w:w="5213" w:type="dxa"/>
            <w:vMerge w:val="restart"/>
            <w:tcBorders>
              <w:top w:val="nil"/>
              <w:left w:val="single" w:sz="6" w:space="0" w:color="FFFFFF"/>
              <w:bottom w:val="single" w:sz="6" w:space="0" w:color="FFFFFF"/>
              <w:right w:val="single" w:sz="6" w:space="0" w:color="FFFFFF"/>
            </w:tcBorders>
            <w:shd w:val="clear" w:color="auto" w:fill="D9D9D9"/>
            <w:hideMark/>
          </w:tcPr>
          <w:p w14:paraId="3C5A17B3" w14:textId="77777777" w:rsidR="000F170C" w:rsidRPr="00DE79CB" w:rsidRDefault="000F170C"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Planet: Food systems transformation, deforestation, land degradation, water &amp; waste management, climate adaptation </w:t>
            </w:r>
            <w:r w:rsidRPr="00DE79CB">
              <w:rPr>
                <w:rFonts w:ascii="Verdana" w:eastAsia="Verdana" w:hAnsi="Verdana" w:cs="Verdana"/>
                <w:sz w:val="18"/>
                <w:szCs w:val="18"/>
                <w:lang w:val="en-US"/>
              </w:rPr>
              <w:br/>
              <w:t xml:space="preserve">People: fair income; smallholder farmers, youth, women and SMEs economic resilience, labor rights, child labor, </w:t>
            </w:r>
            <w:r w:rsidRPr="00DE79CB">
              <w:rPr>
                <w:rFonts w:ascii="Verdana" w:eastAsia="Verdana" w:hAnsi="Verdana" w:cs="Verdana"/>
                <w:sz w:val="18"/>
                <w:szCs w:val="18"/>
                <w:lang w:val="en-US"/>
              </w:rPr>
              <w:lastRenderedPageBreak/>
              <w:t>safe working conditions, </w:t>
            </w:r>
            <w:r w:rsidRPr="00DE79CB">
              <w:rPr>
                <w:rFonts w:ascii="Verdana" w:eastAsia="Verdana" w:hAnsi="Verdana" w:cs="Verdana"/>
                <w:sz w:val="18"/>
                <w:szCs w:val="18"/>
                <w:lang w:val="en-US"/>
              </w:rPr>
              <w:br/>
              <w:t>all over the country, especially in the north. </w:t>
            </w:r>
          </w:p>
        </w:tc>
      </w:tr>
      <w:tr w:rsidR="000F170C" w:rsidRPr="00DE79CB" w14:paraId="6197BA94" w14:textId="77777777" w:rsidTr="004E7734">
        <w:trPr>
          <w:trHeight w:val="570"/>
        </w:trPr>
        <w:tc>
          <w:tcPr>
            <w:tcW w:w="1264" w:type="dxa"/>
            <w:vMerge/>
            <w:tcBorders>
              <w:top w:val="single" w:sz="6" w:space="0" w:color="FFFFFF"/>
              <w:left w:val="single" w:sz="6" w:space="0" w:color="FFFFFF"/>
              <w:bottom w:val="single" w:sz="6" w:space="0" w:color="FFFFFF"/>
              <w:right w:val="single" w:sz="6" w:space="0" w:color="FFFFFF"/>
            </w:tcBorders>
            <w:vAlign w:val="center"/>
            <w:hideMark/>
          </w:tcPr>
          <w:p w14:paraId="6CDC0A0A" w14:textId="77777777" w:rsidR="000F170C" w:rsidRPr="00DE79CB" w:rsidRDefault="000F170C" w:rsidP="004E7734">
            <w:pPr>
              <w:spacing w:after="0" w:line="240" w:lineRule="auto"/>
              <w:rPr>
                <w:rFonts w:ascii="Verdana" w:eastAsia="Verdana" w:hAnsi="Verdana" w:cs="Verdana"/>
                <w:sz w:val="18"/>
                <w:szCs w:val="18"/>
                <w:lang w:val="en-US"/>
              </w:rPr>
            </w:pPr>
          </w:p>
        </w:tc>
        <w:tc>
          <w:tcPr>
            <w:tcW w:w="863" w:type="dxa"/>
            <w:vMerge/>
            <w:tcBorders>
              <w:top w:val="single" w:sz="6" w:space="0" w:color="FFFFFF"/>
              <w:left w:val="single" w:sz="6" w:space="0" w:color="FFFFFF"/>
              <w:bottom w:val="single" w:sz="6" w:space="0" w:color="FFFFFF"/>
              <w:right w:val="single" w:sz="6" w:space="0" w:color="FFFFFF"/>
            </w:tcBorders>
            <w:vAlign w:val="center"/>
            <w:hideMark/>
          </w:tcPr>
          <w:p w14:paraId="507A147F" w14:textId="77777777" w:rsidR="000F170C" w:rsidRPr="00DE79CB" w:rsidRDefault="000F170C" w:rsidP="004E7734">
            <w:pPr>
              <w:spacing w:after="0" w:line="240" w:lineRule="auto"/>
              <w:rPr>
                <w:rFonts w:ascii="Verdana" w:eastAsia="Verdana" w:hAnsi="Verdana" w:cs="Verdana"/>
                <w:sz w:val="18"/>
                <w:szCs w:val="18"/>
                <w:lang w:val="en-US"/>
              </w:rPr>
            </w:pPr>
          </w:p>
        </w:tc>
        <w:tc>
          <w:tcPr>
            <w:tcW w:w="1732" w:type="dxa"/>
            <w:tcBorders>
              <w:top w:val="nil"/>
              <w:left w:val="nil"/>
              <w:bottom w:val="single" w:sz="6" w:space="0" w:color="FFFFFF"/>
              <w:right w:val="single" w:sz="6" w:space="0" w:color="FFFFFF"/>
            </w:tcBorders>
            <w:shd w:val="clear" w:color="auto" w:fill="D9D9D9"/>
            <w:vAlign w:val="center"/>
            <w:hideMark/>
          </w:tcPr>
          <w:p w14:paraId="76713782" w14:textId="77777777"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Poultry</w:t>
            </w:r>
            <w:proofErr w:type="spellEnd"/>
            <w:r w:rsidRPr="00DE79CB">
              <w:rPr>
                <w:rFonts w:ascii="Verdana" w:eastAsia="Verdana" w:hAnsi="Verdana" w:cs="Verdana"/>
                <w:sz w:val="18"/>
                <w:szCs w:val="18"/>
              </w:rPr>
              <w:t> </w:t>
            </w:r>
          </w:p>
        </w:tc>
        <w:tc>
          <w:tcPr>
            <w:tcW w:w="5213" w:type="dxa"/>
            <w:vMerge/>
            <w:tcBorders>
              <w:top w:val="nil"/>
              <w:left w:val="single" w:sz="6" w:space="0" w:color="FFFFFF"/>
              <w:bottom w:val="single" w:sz="6" w:space="0" w:color="FFFFFF"/>
              <w:right w:val="single" w:sz="6" w:space="0" w:color="FFFFFF"/>
            </w:tcBorders>
            <w:vAlign w:val="center"/>
            <w:hideMark/>
          </w:tcPr>
          <w:p w14:paraId="706B5B3A" w14:textId="77777777" w:rsidR="000F170C" w:rsidRPr="00DE79CB" w:rsidRDefault="000F170C" w:rsidP="004E7734">
            <w:pPr>
              <w:spacing w:after="0" w:line="240" w:lineRule="auto"/>
              <w:rPr>
                <w:rFonts w:ascii="Verdana" w:eastAsia="Verdana" w:hAnsi="Verdana" w:cs="Verdana"/>
                <w:sz w:val="18"/>
                <w:szCs w:val="18"/>
              </w:rPr>
            </w:pPr>
          </w:p>
        </w:tc>
      </w:tr>
      <w:tr w:rsidR="000F170C" w:rsidRPr="00DE79CB" w14:paraId="25E5584B" w14:textId="77777777" w:rsidTr="004E7734">
        <w:trPr>
          <w:trHeight w:val="495"/>
        </w:trPr>
        <w:tc>
          <w:tcPr>
            <w:tcW w:w="1264" w:type="dxa"/>
            <w:vMerge w:val="restart"/>
            <w:tcBorders>
              <w:top w:val="nil"/>
              <w:left w:val="single" w:sz="6" w:space="0" w:color="FFFFFF"/>
              <w:bottom w:val="single" w:sz="6" w:space="0" w:color="FFFFFF"/>
              <w:right w:val="single" w:sz="6" w:space="0" w:color="FFFFFF"/>
            </w:tcBorders>
            <w:shd w:val="clear" w:color="auto" w:fill="E8E8E8"/>
            <w:vAlign w:val="center"/>
            <w:hideMark/>
          </w:tcPr>
          <w:p w14:paraId="14DD9902"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DRC </w:t>
            </w:r>
          </w:p>
        </w:tc>
        <w:tc>
          <w:tcPr>
            <w:tcW w:w="863" w:type="dxa"/>
            <w:vMerge w:val="restart"/>
            <w:tcBorders>
              <w:top w:val="nil"/>
              <w:left w:val="single" w:sz="6" w:space="0" w:color="FFFFFF"/>
              <w:bottom w:val="single" w:sz="6" w:space="0" w:color="FFFFFF"/>
              <w:right w:val="single" w:sz="6" w:space="0" w:color="FFFFFF"/>
            </w:tcBorders>
            <w:shd w:val="clear" w:color="auto" w:fill="E8E8E8"/>
            <w:vAlign w:val="center"/>
            <w:hideMark/>
          </w:tcPr>
          <w:p w14:paraId="1443A205" w14:textId="1D63F1BE"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Agri</w:t>
            </w:r>
            <w:r w:rsidR="00651AE4" w:rsidRPr="00DE79CB">
              <w:rPr>
                <w:rFonts w:ascii="Verdana" w:eastAsia="Verdana" w:hAnsi="Verdana" w:cs="Verdana"/>
                <w:sz w:val="18"/>
                <w:szCs w:val="18"/>
              </w:rPr>
              <w:t>culture</w:t>
            </w:r>
            <w:proofErr w:type="spellEnd"/>
            <w:r w:rsidRPr="00DE79CB">
              <w:rPr>
                <w:rFonts w:ascii="Verdana" w:eastAsia="Verdana" w:hAnsi="Verdana" w:cs="Verdana"/>
                <w:sz w:val="18"/>
                <w:szCs w:val="18"/>
              </w:rPr>
              <w:t> </w:t>
            </w:r>
          </w:p>
        </w:tc>
        <w:tc>
          <w:tcPr>
            <w:tcW w:w="1732" w:type="dxa"/>
            <w:tcBorders>
              <w:top w:val="nil"/>
              <w:left w:val="nil"/>
              <w:bottom w:val="single" w:sz="6" w:space="0" w:color="FFFFFF"/>
              <w:right w:val="single" w:sz="6" w:space="0" w:color="FFFFFF"/>
            </w:tcBorders>
            <w:shd w:val="clear" w:color="auto" w:fill="E8E8E8"/>
            <w:vAlign w:val="center"/>
            <w:hideMark/>
          </w:tcPr>
          <w:p w14:paraId="01AB4774"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Cacao </w:t>
            </w:r>
          </w:p>
        </w:tc>
        <w:tc>
          <w:tcPr>
            <w:tcW w:w="5213" w:type="dxa"/>
            <w:vMerge w:val="restart"/>
            <w:tcBorders>
              <w:top w:val="nil"/>
              <w:left w:val="single" w:sz="6" w:space="0" w:color="FFFFFF"/>
              <w:bottom w:val="single" w:sz="6" w:space="0" w:color="FFFFFF"/>
              <w:right w:val="single" w:sz="6" w:space="0" w:color="FFFFFF"/>
            </w:tcBorders>
            <w:shd w:val="clear" w:color="auto" w:fill="E8E8E8"/>
            <w:hideMark/>
          </w:tcPr>
          <w:p w14:paraId="22E0D202" w14:textId="77777777" w:rsidR="000F170C" w:rsidRPr="00DE79CB" w:rsidRDefault="000F170C"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Local sourcing to improve fair pricing, legal flows and production conditions, especially North and Eastern regions, the NL EU focus will be on the Northern corridor (nº8, </w:t>
            </w:r>
            <w:proofErr w:type="spellStart"/>
            <w:r w:rsidRPr="00DE79CB">
              <w:rPr>
                <w:rFonts w:ascii="Verdana" w:eastAsia="Verdana" w:hAnsi="Verdana" w:cs="Verdana"/>
                <w:sz w:val="18"/>
                <w:szCs w:val="18"/>
                <w:lang w:val="en-US"/>
              </w:rPr>
              <w:t>Mombassa</w:t>
            </w:r>
            <w:proofErr w:type="spellEnd"/>
            <w:r w:rsidRPr="00DE79CB">
              <w:rPr>
                <w:rFonts w:ascii="Verdana" w:eastAsia="Verdana" w:hAnsi="Verdana" w:cs="Verdana"/>
                <w:sz w:val="18"/>
                <w:szCs w:val="18"/>
                <w:lang w:val="en-US"/>
              </w:rPr>
              <w:t>-Kisangani) as well as Green corridor (Kivu-Kinshasa) and </w:t>
            </w:r>
            <w:proofErr w:type="spellStart"/>
            <w:r w:rsidRPr="00DE79CB">
              <w:rPr>
                <w:rFonts w:ascii="Verdana" w:eastAsia="Verdana" w:hAnsi="Verdana" w:cs="Verdana"/>
                <w:sz w:val="18"/>
                <w:szCs w:val="18"/>
                <w:lang w:val="en-US"/>
              </w:rPr>
              <w:t>potentialy</w:t>
            </w:r>
            <w:proofErr w:type="spellEnd"/>
            <w:r w:rsidRPr="00DE79CB">
              <w:rPr>
                <w:rFonts w:ascii="Verdana" w:eastAsia="Verdana" w:hAnsi="Verdana" w:cs="Verdana"/>
                <w:sz w:val="18"/>
                <w:szCs w:val="18"/>
                <w:lang w:val="en-US"/>
              </w:rPr>
              <w:t> Douala-Kampala corridor (nº6). </w:t>
            </w:r>
          </w:p>
        </w:tc>
      </w:tr>
      <w:tr w:rsidR="000F170C" w:rsidRPr="00DE79CB" w14:paraId="16733FFE" w14:textId="77777777" w:rsidTr="004E7734">
        <w:trPr>
          <w:trHeight w:val="405"/>
        </w:trPr>
        <w:tc>
          <w:tcPr>
            <w:tcW w:w="1264" w:type="dxa"/>
            <w:vMerge/>
            <w:tcBorders>
              <w:top w:val="nil"/>
              <w:left w:val="single" w:sz="6" w:space="0" w:color="FFFFFF"/>
              <w:bottom w:val="single" w:sz="6" w:space="0" w:color="FFFFFF"/>
              <w:right w:val="single" w:sz="6" w:space="0" w:color="FFFFFF"/>
            </w:tcBorders>
            <w:vAlign w:val="center"/>
            <w:hideMark/>
          </w:tcPr>
          <w:p w14:paraId="6A78FD40" w14:textId="77777777" w:rsidR="000F170C" w:rsidRPr="00DE79CB" w:rsidRDefault="000F170C" w:rsidP="004E7734">
            <w:pPr>
              <w:spacing w:after="0" w:line="240" w:lineRule="auto"/>
              <w:rPr>
                <w:rFonts w:ascii="Verdana" w:eastAsia="Verdana" w:hAnsi="Verdana" w:cs="Verdana"/>
                <w:sz w:val="18"/>
                <w:szCs w:val="18"/>
                <w:lang w:val="en-US"/>
              </w:rPr>
            </w:pPr>
          </w:p>
        </w:tc>
        <w:tc>
          <w:tcPr>
            <w:tcW w:w="863" w:type="dxa"/>
            <w:vMerge/>
            <w:tcBorders>
              <w:top w:val="nil"/>
              <w:left w:val="single" w:sz="6" w:space="0" w:color="FFFFFF"/>
              <w:bottom w:val="single" w:sz="6" w:space="0" w:color="FFFFFF"/>
              <w:right w:val="single" w:sz="6" w:space="0" w:color="FFFFFF"/>
            </w:tcBorders>
            <w:vAlign w:val="center"/>
            <w:hideMark/>
          </w:tcPr>
          <w:p w14:paraId="3E986F72" w14:textId="77777777" w:rsidR="000F170C" w:rsidRPr="00DE79CB" w:rsidRDefault="000F170C" w:rsidP="004E7734">
            <w:pPr>
              <w:spacing w:after="0" w:line="240" w:lineRule="auto"/>
              <w:rPr>
                <w:rFonts w:ascii="Verdana" w:eastAsia="Verdana" w:hAnsi="Verdana" w:cs="Verdana"/>
                <w:sz w:val="18"/>
                <w:szCs w:val="18"/>
                <w:lang w:val="en-US"/>
              </w:rPr>
            </w:pPr>
          </w:p>
        </w:tc>
        <w:tc>
          <w:tcPr>
            <w:tcW w:w="1732" w:type="dxa"/>
            <w:tcBorders>
              <w:top w:val="nil"/>
              <w:left w:val="nil"/>
              <w:bottom w:val="single" w:sz="6" w:space="0" w:color="FFFFFF"/>
              <w:right w:val="single" w:sz="6" w:space="0" w:color="FFFFFF"/>
            </w:tcBorders>
            <w:shd w:val="clear" w:color="auto" w:fill="E8E8E8"/>
            <w:vAlign w:val="center"/>
            <w:hideMark/>
          </w:tcPr>
          <w:p w14:paraId="78F8312B"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Coffee </w:t>
            </w:r>
          </w:p>
        </w:tc>
        <w:tc>
          <w:tcPr>
            <w:tcW w:w="5213" w:type="dxa"/>
            <w:vMerge/>
            <w:tcBorders>
              <w:top w:val="nil"/>
              <w:left w:val="single" w:sz="6" w:space="0" w:color="FFFFFF"/>
              <w:bottom w:val="single" w:sz="6" w:space="0" w:color="FFFFFF"/>
              <w:right w:val="single" w:sz="6" w:space="0" w:color="FFFFFF"/>
            </w:tcBorders>
            <w:vAlign w:val="center"/>
            <w:hideMark/>
          </w:tcPr>
          <w:p w14:paraId="648326C5" w14:textId="77777777" w:rsidR="000F170C" w:rsidRPr="00DE79CB" w:rsidRDefault="000F170C" w:rsidP="004E7734">
            <w:pPr>
              <w:spacing w:after="0" w:line="240" w:lineRule="auto"/>
              <w:rPr>
                <w:rFonts w:ascii="Verdana" w:eastAsia="Verdana" w:hAnsi="Verdana" w:cs="Verdana"/>
                <w:sz w:val="18"/>
                <w:szCs w:val="18"/>
              </w:rPr>
            </w:pPr>
          </w:p>
        </w:tc>
      </w:tr>
      <w:tr w:rsidR="000F170C" w:rsidRPr="00DE79CB" w14:paraId="23162F16" w14:textId="77777777" w:rsidTr="004E7734">
        <w:trPr>
          <w:trHeight w:val="720"/>
        </w:trPr>
        <w:tc>
          <w:tcPr>
            <w:tcW w:w="1264" w:type="dxa"/>
            <w:vMerge/>
            <w:tcBorders>
              <w:top w:val="nil"/>
              <w:left w:val="single" w:sz="6" w:space="0" w:color="FFFFFF"/>
              <w:bottom w:val="single" w:sz="6" w:space="0" w:color="FFFFFF"/>
              <w:right w:val="single" w:sz="6" w:space="0" w:color="FFFFFF"/>
            </w:tcBorders>
            <w:vAlign w:val="center"/>
            <w:hideMark/>
          </w:tcPr>
          <w:p w14:paraId="5E6AA061" w14:textId="77777777" w:rsidR="000F170C" w:rsidRPr="00DE79CB" w:rsidRDefault="000F170C" w:rsidP="004E7734">
            <w:pPr>
              <w:spacing w:after="0" w:line="240" w:lineRule="auto"/>
              <w:rPr>
                <w:rFonts w:ascii="Verdana" w:eastAsia="Verdana" w:hAnsi="Verdana" w:cs="Verdana"/>
                <w:sz w:val="18"/>
                <w:szCs w:val="18"/>
              </w:rPr>
            </w:pPr>
          </w:p>
        </w:tc>
        <w:tc>
          <w:tcPr>
            <w:tcW w:w="863" w:type="dxa"/>
            <w:vMerge/>
            <w:tcBorders>
              <w:top w:val="nil"/>
              <w:left w:val="single" w:sz="6" w:space="0" w:color="FFFFFF"/>
              <w:bottom w:val="single" w:sz="6" w:space="0" w:color="FFFFFF"/>
              <w:right w:val="single" w:sz="6" w:space="0" w:color="FFFFFF"/>
            </w:tcBorders>
            <w:vAlign w:val="center"/>
            <w:hideMark/>
          </w:tcPr>
          <w:p w14:paraId="3B97906A" w14:textId="77777777" w:rsidR="000F170C" w:rsidRPr="00DE79CB" w:rsidRDefault="000F170C" w:rsidP="004E7734">
            <w:pPr>
              <w:spacing w:after="0" w:line="240" w:lineRule="auto"/>
              <w:rPr>
                <w:rFonts w:ascii="Verdana" w:eastAsia="Verdana" w:hAnsi="Verdana" w:cs="Verdana"/>
                <w:sz w:val="18"/>
                <w:szCs w:val="18"/>
              </w:rPr>
            </w:pPr>
          </w:p>
        </w:tc>
        <w:tc>
          <w:tcPr>
            <w:tcW w:w="1732" w:type="dxa"/>
            <w:tcBorders>
              <w:top w:val="nil"/>
              <w:left w:val="nil"/>
              <w:bottom w:val="single" w:sz="6" w:space="0" w:color="FFFFFF"/>
              <w:right w:val="single" w:sz="6" w:space="0" w:color="FFFFFF"/>
            </w:tcBorders>
            <w:shd w:val="clear" w:color="auto" w:fill="E8E8E8"/>
            <w:vAlign w:val="center"/>
            <w:hideMark/>
          </w:tcPr>
          <w:p w14:paraId="408C10EB" w14:textId="0A88655C"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Horti</w:t>
            </w:r>
            <w:r w:rsidR="007B0CEF" w:rsidRPr="00DE79CB">
              <w:rPr>
                <w:rFonts w:ascii="Verdana" w:eastAsia="Verdana" w:hAnsi="Verdana" w:cs="Verdana"/>
                <w:sz w:val="18"/>
                <w:szCs w:val="18"/>
              </w:rPr>
              <w:t>culture</w:t>
            </w:r>
            <w:proofErr w:type="spellEnd"/>
            <w:r w:rsidRPr="00DE79CB">
              <w:rPr>
                <w:rFonts w:ascii="Verdana" w:eastAsia="Verdana" w:hAnsi="Verdana" w:cs="Verdana"/>
                <w:sz w:val="18"/>
                <w:szCs w:val="18"/>
              </w:rPr>
              <w:t> </w:t>
            </w:r>
          </w:p>
        </w:tc>
        <w:tc>
          <w:tcPr>
            <w:tcW w:w="5213" w:type="dxa"/>
            <w:tcBorders>
              <w:top w:val="nil"/>
              <w:left w:val="nil"/>
              <w:bottom w:val="single" w:sz="6" w:space="0" w:color="FFFFFF"/>
              <w:right w:val="single" w:sz="6" w:space="0" w:color="FFFFFF"/>
            </w:tcBorders>
            <w:shd w:val="clear" w:color="auto" w:fill="E8E8E8"/>
            <w:hideMark/>
          </w:tcPr>
          <w:p w14:paraId="5871DC1D" w14:textId="77777777" w:rsidR="000F170C" w:rsidRPr="00DE79CB" w:rsidRDefault="000F170C"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Sustainable and environmental production, access to EU markets, agricultural enterprises, small-scale farmers to skilled and </w:t>
            </w:r>
            <w:proofErr w:type="spellStart"/>
            <w:r w:rsidRPr="00DE79CB">
              <w:rPr>
                <w:rFonts w:ascii="Verdana" w:eastAsia="Verdana" w:hAnsi="Verdana" w:cs="Verdana"/>
                <w:sz w:val="18"/>
                <w:szCs w:val="18"/>
                <w:lang w:val="en-US"/>
              </w:rPr>
              <w:t>specialised</w:t>
            </w:r>
            <w:proofErr w:type="spellEnd"/>
            <w:r w:rsidRPr="00DE79CB">
              <w:rPr>
                <w:rFonts w:ascii="Verdana" w:eastAsia="Verdana" w:hAnsi="Verdana" w:cs="Verdana"/>
                <w:sz w:val="18"/>
                <w:szCs w:val="18"/>
                <w:lang w:val="en-US"/>
              </w:rPr>
              <w:t> producers. Lobito corridor area (Lobito (AN)-Lubumbashi (CD)-</w:t>
            </w:r>
            <w:proofErr w:type="spellStart"/>
            <w:r w:rsidRPr="00DE79CB">
              <w:rPr>
                <w:rFonts w:ascii="Verdana" w:eastAsia="Verdana" w:hAnsi="Verdana" w:cs="Verdana"/>
                <w:sz w:val="18"/>
                <w:szCs w:val="18"/>
                <w:lang w:val="en-US"/>
              </w:rPr>
              <w:t>Kapiri</w:t>
            </w:r>
            <w:proofErr w:type="spellEnd"/>
            <w:r w:rsidRPr="00DE79CB">
              <w:rPr>
                <w:rFonts w:ascii="Verdana" w:eastAsia="Verdana" w:hAnsi="Verdana" w:cs="Verdana"/>
                <w:sz w:val="18"/>
                <w:szCs w:val="18"/>
                <w:lang w:val="en-US"/>
              </w:rPr>
              <w:t> </w:t>
            </w:r>
            <w:proofErr w:type="spellStart"/>
            <w:r w:rsidRPr="00DE79CB">
              <w:rPr>
                <w:rFonts w:ascii="Verdana" w:eastAsia="Verdana" w:hAnsi="Verdana" w:cs="Verdana"/>
                <w:sz w:val="18"/>
                <w:szCs w:val="18"/>
                <w:lang w:val="en-US"/>
              </w:rPr>
              <w:t>Mposhi</w:t>
            </w:r>
            <w:proofErr w:type="spellEnd"/>
            <w:r w:rsidRPr="00DE79CB">
              <w:rPr>
                <w:rFonts w:ascii="Verdana" w:eastAsia="Verdana" w:hAnsi="Verdana" w:cs="Verdana"/>
                <w:sz w:val="18"/>
                <w:szCs w:val="18"/>
                <w:lang w:val="en-US"/>
              </w:rPr>
              <w:t> (ZM)) and Kongo Central Corridor </w:t>
            </w:r>
          </w:p>
        </w:tc>
      </w:tr>
      <w:tr w:rsidR="000F170C" w:rsidRPr="00DE79CB" w14:paraId="2D78DC04" w14:textId="77777777" w:rsidTr="004E7734">
        <w:trPr>
          <w:trHeight w:val="900"/>
        </w:trPr>
        <w:tc>
          <w:tcPr>
            <w:tcW w:w="1264" w:type="dxa"/>
            <w:vMerge/>
            <w:tcBorders>
              <w:top w:val="nil"/>
              <w:left w:val="single" w:sz="6" w:space="0" w:color="FFFFFF"/>
              <w:bottom w:val="single" w:sz="6" w:space="0" w:color="FFFFFF"/>
              <w:right w:val="single" w:sz="6" w:space="0" w:color="FFFFFF"/>
            </w:tcBorders>
            <w:vAlign w:val="center"/>
            <w:hideMark/>
          </w:tcPr>
          <w:p w14:paraId="25191DB6" w14:textId="77777777" w:rsidR="000F170C" w:rsidRPr="00DE79CB" w:rsidRDefault="000F170C" w:rsidP="004E7734">
            <w:pPr>
              <w:spacing w:after="0" w:line="240" w:lineRule="auto"/>
              <w:rPr>
                <w:rFonts w:ascii="Verdana" w:eastAsia="Verdana" w:hAnsi="Verdana" w:cs="Verdana"/>
                <w:sz w:val="18"/>
                <w:szCs w:val="18"/>
                <w:lang w:val="en-US"/>
              </w:rPr>
            </w:pPr>
          </w:p>
        </w:tc>
        <w:tc>
          <w:tcPr>
            <w:tcW w:w="863" w:type="dxa"/>
            <w:tcBorders>
              <w:top w:val="nil"/>
              <w:left w:val="nil"/>
              <w:bottom w:val="nil"/>
              <w:right w:val="single" w:sz="6" w:space="0" w:color="FFFFFF"/>
            </w:tcBorders>
            <w:shd w:val="clear" w:color="auto" w:fill="E8E8E8"/>
            <w:vAlign w:val="center"/>
            <w:hideMark/>
          </w:tcPr>
          <w:p w14:paraId="4F9583DE"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CRM </w:t>
            </w:r>
          </w:p>
        </w:tc>
        <w:tc>
          <w:tcPr>
            <w:tcW w:w="1732" w:type="dxa"/>
            <w:tcBorders>
              <w:top w:val="nil"/>
              <w:left w:val="nil"/>
              <w:bottom w:val="single" w:sz="6" w:space="0" w:color="FFFFFF"/>
              <w:right w:val="single" w:sz="6" w:space="0" w:color="FFFFFF"/>
            </w:tcBorders>
            <w:shd w:val="clear" w:color="auto" w:fill="E8E8E8"/>
            <w:vAlign w:val="center"/>
            <w:hideMark/>
          </w:tcPr>
          <w:p w14:paraId="35F0B0B1" w14:textId="48CC1521"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 </w:t>
            </w:r>
            <w:r w:rsidR="007B0CEF" w:rsidRPr="00DE79CB">
              <w:rPr>
                <w:rFonts w:ascii="Verdana" w:eastAsia="Verdana" w:hAnsi="Verdana" w:cs="Verdana"/>
                <w:sz w:val="18"/>
                <w:szCs w:val="18"/>
              </w:rPr>
              <w:t xml:space="preserve">See </w:t>
            </w:r>
            <w:proofErr w:type="spellStart"/>
            <w:r w:rsidR="007B0CEF" w:rsidRPr="00DE79CB">
              <w:rPr>
                <w:rFonts w:ascii="Verdana" w:eastAsia="Verdana" w:hAnsi="Verdana" w:cs="Verdana"/>
                <w:sz w:val="18"/>
                <w:szCs w:val="18"/>
              </w:rPr>
              <w:t>definition</w:t>
            </w:r>
            <w:proofErr w:type="spellEnd"/>
            <w:r w:rsidR="007B0CEF" w:rsidRPr="00DE79CB">
              <w:rPr>
                <w:rFonts w:ascii="Verdana" w:eastAsia="Verdana" w:hAnsi="Verdana" w:cs="Verdana"/>
                <w:sz w:val="18"/>
                <w:szCs w:val="18"/>
              </w:rPr>
              <w:t xml:space="preserve"> </w:t>
            </w:r>
            <w:proofErr w:type="spellStart"/>
            <w:r w:rsidR="007B0CEF" w:rsidRPr="00DE79CB">
              <w:rPr>
                <w:rFonts w:ascii="Verdana" w:eastAsia="Verdana" w:hAnsi="Verdana" w:cs="Verdana"/>
                <w:sz w:val="18"/>
                <w:szCs w:val="18"/>
              </w:rPr>
              <w:t>above</w:t>
            </w:r>
            <w:proofErr w:type="spellEnd"/>
            <w:r w:rsidR="007B0CEF" w:rsidRPr="00DE79CB">
              <w:rPr>
                <w:rFonts w:ascii="Verdana" w:eastAsia="Verdana" w:hAnsi="Verdana" w:cs="Verdana"/>
                <w:sz w:val="18"/>
                <w:szCs w:val="18"/>
              </w:rPr>
              <w:t xml:space="preserve"> </w:t>
            </w:r>
            <w:r w:rsidRPr="00DE79CB">
              <w:rPr>
                <w:rFonts w:ascii="Verdana" w:eastAsia="Verdana" w:hAnsi="Verdana" w:cs="Verdana"/>
                <w:sz w:val="18"/>
                <w:szCs w:val="18"/>
              </w:rPr>
              <w:t> </w:t>
            </w:r>
          </w:p>
        </w:tc>
        <w:tc>
          <w:tcPr>
            <w:tcW w:w="5213" w:type="dxa"/>
            <w:tcBorders>
              <w:top w:val="nil"/>
              <w:left w:val="nil"/>
              <w:bottom w:val="single" w:sz="6" w:space="0" w:color="FFFFFF"/>
              <w:right w:val="single" w:sz="6" w:space="0" w:color="FFFFFF"/>
            </w:tcBorders>
            <w:shd w:val="clear" w:color="auto" w:fill="E8E8E8"/>
            <w:vAlign w:val="bottom"/>
            <w:hideMark/>
          </w:tcPr>
          <w:p w14:paraId="6DB7565B" w14:textId="77777777" w:rsidR="000F170C" w:rsidRPr="00DE79CB" w:rsidRDefault="000F170C"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Responsible </w:t>
            </w:r>
            <w:proofErr w:type="spellStart"/>
            <w:r w:rsidRPr="00DE79CB">
              <w:rPr>
                <w:rFonts w:ascii="Verdana" w:eastAsia="Verdana" w:hAnsi="Verdana" w:cs="Verdana"/>
                <w:sz w:val="18"/>
                <w:szCs w:val="18"/>
                <w:lang w:val="en-US"/>
              </w:rPr>
              <w:t>artisinal</w:t>
            </w:r>
            <w:proofErr w:type="spellEnd"/>
            <w:r w:rsidRPr="00DE79CB">
              <w:rPr>
                <w:rFonts w:ascii="Verdana" w:eastAsia="Verdana" w:hAnsi="Verdana" w:cs="Verdana"/>
                <w:sz w:val="18"/>
                <w:szCs w:val="18"/>
                <w:lang w:val="en-US"/>
              </w:rPr>
              <w:t> mining, improve human rights, civil society, due </w:t>
            </w:r>
            <w:proofErr w:type="spellStart"/>
            <w:r w:rsidRPr="00DE79CB">
              <w:rPr>
                <w:rFonts w:ascii="Verdana" w:eastAsia="Verdana" w:hAnsi="Verdana" w:cs="Verdana"/>
                <w:sz w:val="18"/>
                <w:szCs w:val="18"/>
                <w:lang w:val="en-US"/>
              </w:rPr>
              <w:t>dilligence</w:t>
            </w:r>
            <w:proofErr w:type="spellEnd"/>
            <w:r w:rsidRPr="00DE79CB">
              <w:rPr>
                <w:rFonts w:ascii="Verdana" w:eastAsia="Verdana" w:hAnsi="Verdana" w:cs="Verdana"/>
                <w:sz w:val="18"/>
                <w:szCs w:val="18"/>
                <w:lang w:val="en-US"/>
              </w:rPr>
              <w:t>, engagement and empowerment of women, environment rehabilitation, post-mining, mining waste management, water pollution, public and private governance, transparency and accountability, geographical focus on Lobito Corridor  </w:t>
            </w:r>
          </w:p>
        </w:tc>
      </w:tr>
      <w:tr w:rsidR="000F170C" w:rsidRPr="00DE79CB" w14:paraId="14E64B7E" w14:textId="77777777" w:rsidTr="004E7734">
        <w:trPr>
          <w:trHeight w:val="1350"/>
        </w:trPr>
        <w:tc>
          <w:tcPr>
            <w:tcW w:w="1264" w:type="dxa"/>
            <w:tcBorders>
              <w:top w:val="nil"/>
              <w:left w:val="single" w:sz="6" w:space="0" w:color="FFFFFF"/>
              <w:bottom w:val="single" w:sz="6" w:space="0" w:color="FFFFFF"/>
              <w:right w:val="single" w:sz="6" w:space="0" w:color="FFFFFF"/>
            </w:tcBorders>
            <w:shd w:val="clear" w:color="auto" w:fill="D9D9D9"/>
            <w:vAlign w:val="center"/>
            <w:hideMark/>
          </w:tcPr>
          <w:p w14:paraId="109D6225"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Egypt </w:t>
            </w:r>
          </w:p>
        </w:tc>
        <w:tc>
          <w:tcPr>
            <w:tcW w:w="863" w:type="dxa"/>
            <w:tcBorders>
              <w:top w:val="single" w:sz="6" w:space="0" w:color="FFFFFF"/>
              <w:left w:val="nil"/>
              <w:bottom w:val="single" w:sz="6" w:space="0" w:color="FFFFFF"/>
              <w:right w:val="single" w:sz="6" w:space="0" w:color="FFFFFF"/>
            </w:tcBorders>
            <w:shd w:val="clear" w:color="auto" w:fill="D9D9D9"/>
            <w:vAlign w:val="center"/>
            <w:hideMark/>
          </w:tcPr>
          <w:p w14:paraId="00CACD02" w14:textId="64525A3F"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Agri</w:t>
            </w:r>
            <w:r w:rsidR="00651AE4" w:rsidRPr="00DE79CB">
              <w:rPr>
                <w:rFonts w:ascii="Verdana" w:eastAsia="Verdana" w:hAnsi="Verdana" w:cs="Verdana"/>
                <w:sz w:val="18"/>
                <w:szCs w:val="18"/>
              </w:rPr>
              <w:t>culture</w:t>
            </w:r>
            <w:proofErr w:type="spellEnd"/>
            <w:r w:rsidRPr="00DE79CB">
              <w:rPr>
                <w:rFonts w:ascii="Verdana" w:eastAsia="Verdana" w:hAnsi="Verdana" w:cs="Verdana"/>
                <w:sz w:val="18"/>
                <w:szCs w:val="18"/>
              </w:rPr>
              <w:t> </w:t>
            </w:r>
          </w:p>
        </w:tc>
        <w:tc>
          <w:tcPr>
            <w:tcW w:w="1732" w:type="dxa"/>
            <w:tcBorders>
              <w:top w:val="nil"/>
              <w:left w:val="nil"/>
              <w:bottom w:val="single" w:sz="6" w:space="0" w:color="FFFFFF"/>
              <w:right w:val="single" w:sz="6" w:space="0" w:color="FFFFFF"/>
            </w:tcBorders>
            <w:shd w:val="clear" w:color="auto" w:fill="D9D9D9"/>
            <w:vAlign w:val="center"/>
            <w:hideMark/>
          </w:tcPr>
          <w:p w14:paraId="7F27759A" w14:textId="77777777"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Vegetables</w:t>
            </w:r>
            <w:proofErr w:type="spellEnd"/>
            <w:r w:rsidRPr="00DE79CB">
              <w:rPr>
                <w:rFonts w:ascii="Verdana" w:eastAsia="Verdana" w:hAnsi="Verdana" w:cs="Verdana"/>
                <w:sz w:val="18"/>
                <w:szCs w:val="18"/>
              </w:rPr>
              <w:t> </w:t>
            </w:r>
            <w:proofErr w:type="spellStart"/>
            <w:r w:rsidRPr="00DE79CB">
              <w:rPr>
                <w:rFonts w:ascii="Verdana" w:eastAsia="Verdana" w:hAnsi="Verdana" w:cs="Verdana"/>
                <w:sz w:val="18"/>
                <w:szCs w:val="18"/>
              </w:rPr>
              <w:t>and</w:t>
            </w:r>
            <w:proofErr w:type="spellEnd"/>
            <w:r w:rsidRPr="00DE79CB">
              <w:rPr>
                <w:rFonts w:ascii="Verdana" w:eastAsia="Verdana" w:hAnsi="Verdana" w:cs="Verdana"/>
                <w:sz w:val="18"/>
                <w:szCs w:val="18"/>
              </w:rPr>
              <w:t>    Fruit </w:t>
            </w:r>
          </w:p>
        </w:tc>
        <w:tc>
          <w:tcPr>
            <w:tcW w:w="5213" w:type="dxa"/>
            <w:tcBorders>
              <w:top w:val="nil"/>
              <w:left w:val="nil"/>
              <w:bottom w:val="nil"/>
              <w:right w:val="single" w:sz="6" w:space="0" w:color="FFFFFF"/>
            </w:tcBorders>
            <w:shd w:val="clear" w:color="auto" w:fill="D9D9D9"/>
            <w:hideMark/>
          </w:tcPr>
          <w:p w14:paraId="27D797C6" w14:textId="77777777" w:rsidR="000F170C" w:rsidRPr="00DE79CB" w:rsidRDefault="000F170C"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Climate and Water Smart Agriculture, food security, worker </w:t>
            </w:r>
            <w:proofErr w:type="spellStart"/>
            <w:r w:rsidRPr="00DE79CB">
              <w:rPr>
                <w:rFonts w:ascii="Verdana" w:eastAsia="Verdana" w:hAnsi="Verdana" w:cs="Verdana"/>
                <w:sz w:val="18"/>
                <w:szCs w:val="18"/>
                <w:lang w:val="en-US"/>
              </w:rPr>
              <w:t>wellfare</w:t>
            </w:r>
            <w:proofErr w:type="spellEnd"/>
            <w:r w:rsidRPr="00DE79CB">
              <w:rPr>
                <w:rFonts w:ascii="Verdana" w:eastAsia="Verdana" w:hAnsi="Verdana" w:cs="Verdana"/>
                <w:sz w:val="18"/>
                <w:szCs w:val="18"/>
                <w:lang w:val="en-US"/>
              </w:rPr>
              <w:t> and education </w:t>
            </w:r>
          </w:p>
        </w:tc>
      </w:tr>
      <w:tr w:rsidR="000F170C" w:rsidRPr="00DE79CB" w14:paraId="5F27FDF4" w14:textId="77777777" w:rsidTr="004E7734">
        <w:trPr>
          <w:trHeight w:val="225"/>
        </w:trPr>
        <w:tc>
          <w:tcPr>
            <w:tcW w:w="1264" w:type="dxa"/>
            <w:vMerge w:val="restart"/>
            <w:tcBorders>
              <w:top w:val="nil"/>
              <w:left w:val="single" w:sz="6" w:space="0" w:color="FFFFFF"/>
              <w:bottom w:val="single" w:sz="6" w:space="0" w:color="FFFFFF"/>
              <w:right w:val="single" w:sz="6" w:space="0" w:color="FFFFFF"/>
            </w:tcBorders>
            <w:shd w:val="clear" w:color="auto" w:fill="E8E8E8"/>
            <w:vAlign w:val="center"/>
            <w:hideMark/>
          </w:tcPr>
          <w:p w14:paraId="61EADBF7"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Ethiopia </w:t>
            </w:r>
          </w:p>
        </w:tc>
        <w:tc>
          <w:tcPr>
            <w:tcW w:w="863" w:type="dxa"/>
            <w:vMerge w:val="restart"/>
            <w:tcBorders>
              <w:top w:val="nil"/>
              <w:left w:val="single" w:sz="6" w:space="0" w:color="FFFFFF"/>
              <w:bottom w:val="single" w:sz="6" w:space="0" w:color="FFFFFF"/>
              <w:right w:val="single" w:sz="6" w:space="0" w:color="FFFFFF"/>
            </w:tcBorders>
            <w:shd w:val="clear" w:color="auto" w:fill="E8E8E8"/>
            <w:vAlign w:val="center"/>
            <w:hideMark/>
          </w:tcPr>
          <w:p w14:paraId="0A057F9B" w14:textId="21CA85BE"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Agri</w:t>
            </w:r>
            <w:r w:rsidR="00651AE4" w:rsidRPr="00DE79CB">
              <w:rPr>
                <w:rFonts w:ascii="Verdana" w:eastAsia="Verdana" w:hAnsi="Verdana" w:cs="Verdana"/>
                <w:sz w:val="18"/>
                <w:szCs w:val="18"/>
              </w:rPr>
              <w:t>culture</w:t>
            </w:r>
            <w:proofErr w:type="spellEnd"/>
            <w:r w:rsidRPr="00DE79CB">
              <w:rPr>
                <w:rFonts w:ascii="Verdana" w:eastAsia="Verdana" w:hAnsi="Verdana" w:cs="Verdana"/>
                <w:sz w:val="18"/>
                <w:szCs w:val="18"/>
              </w:rPr>
              <w:t> </w:t>
            </w:r>
          </w:p>
        </w:tc>
        <w:tc>
          <w:tcPr>
            <w:tcW w:w="1732" w:type="dxa"/>
            <w:tcBorders>
              <w:top w:val="nil"/>
              <w:left w:val="nil"/>
              <w:bottom w:val="single" w:sz="6" w:space="0" w:color="FFFFFF"/>
              <w:right w:val="single" w:sz="6" w:space="0" w:color="FFFFFF"/>
            </w:tcBorders>
            <w:shd w:val="clear" w:color="auto" w:fill="E8E8E8"/>
            <w:vAlign w:val="center"/>
            <w:hideMark/>
          </w:tcPr>
          <w:p w14:paraId="0FFD0DDE" w14:textId="380B6266"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Horti</w:t>
            </w:r>
            <w:r w:rsidR="00651AE4" w:rsidRPr="00DE79CB">
              <w:rPr>
                <w:rFonts w:ascii="Verdana" w:eastAsia="Verdana" w:hAnsi="Verdana" w:cs="Verdana"/>
                <w:sz w:val="18"/>
                <w:szCs w:val="18"/>
              </w:rPr>
              <w:t>culture</w:t>
            </w:r>
            <w:proofErr w:type="spellEnd"/>
            <w:r w:rsidRPr="00DE79CB">
              <w:rPr>
                <w:rFonts w:ascii="Verdana" w:eastAsia="Verdana" w:hAnsi="Verdana" w:cs="Verdana"/>
                <w:sz w:val="18"/>
                <w:szCs w:val="18"/>
              </w:rPr>
              <w:t> </w:t>
            </w:r>
          </w:p>
        </w:tc>
        <w:tc>
          <w:tcPr>
            <w:tcW w:w="5213" w:type="dxa"/>
            <w:vMerge w:val="restart"/>
            <w:tcBorders>
              <w:top w:val="single" w:sz="6" w:space="0" w:color="FFFFFF"/>
              <w:left w:val="single" w:sz="6" w:space="0" w:color="FFFFFF"/>
              <w:bottom w:val="single" w:sz="6" w:space="0" w:color="FFFFFF"/>
              <w:right w:val="single" w:sz="6" w:space="0" w:color="FFFFFF"/>
            </w:tcBorders>
            <w:shd w:val="clear" w:color="auto" w:fill="E8E8E8"/>
            <w:vAlign w:val="center"/>
            <w:hideMark/>
          </w:tcPr>
          <w:p w14:paraId="7A09A5BB" w14:textId="77777777" w:rsidR="000F170C" w:rsidRPr="00DE79CB" w:rsidRDefault="000F170C"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Responsible Business Conduct, nature &amp; biodiversity, waste management, local sourcing </w:t>
            </w:r>
          </w:p>
        </w:tc>
      </w:tr>
      <w:tr w:rsidR="000F170C" w:rsidRPr="00DE79CB" w14:paraId="753EEBA1" w14:textId="77777777" w:rsidTr="004E7734">
        <w:trPr>
          <w:trHeight w:val="225"/>
        </w:trPr>
        <w:tc>
          <w:tcPr>
            <w:tcW w:w="1264" w:type="dxa"/>
            <w:vMerge/>
            <w:tcBorders>
              <w:top w:val="nil"/>
              <w:left w:val="single" w:sz="6" w:space="0" w:color="FFFFFF"/>
              <w:bottom w:val="single" w:sz="6" w:space="0" w:color="FFFFFF"/>
              <w:right w:val="single" w:sz="6" w:space="0" w:color="FFFFFF"/>
            </w:tcBorders>
            <w:vAlign w:val="center"/>
            <w:hideMark/>
          </w:tcPr>
          <w:p w14:paraId="1C465FC5" w14:textId="77777777" w:rsidR="000F170C" w:rsidRPr="00DE79CB" w:rsidRDefault="000F170C" w:rsidP="004E7734">
            <w:pPr>
              <w:spacing w:after="0" w:line="240" w:lineRule="auto"/>
              <w:rPr>
                <w:rFonts w:ascii="Verdana" w:eastAsia="Verdana" w:hAnsi="Verdana" w:cs="Verdana"/>
                <w:sz w:val="18"/>
                <w:szCs w:val="18"/>
                <w:lang w:val="en-US"/>
              </w:rPr>
            </w:pPr>
          </w:p>
        </w:tc>
        <w:tc>
          <w:tcPr>
            <w:tcW w:w="863" w:type="dxa"/>
            <w:vMerge/>
            <w:tcBorders>
              <w:top w:val="nil"/>
              <w:left w:val="single" w:sz="6" w:space="0" w:color="FFFFFF"/>
              <w:bottom w:val="single" w:sz="6" w:space="0" w:color="FFFFFF"/>
              <w:right w:val="single" w:sz="6" w:space="0" w:color="FFFFFF"/>
            </w:tcBorders>
            <w:vAlign w:val="center"/>
            <w:hideMark/>
          </w:tcPr>
          <w:p w14:paraId="52D4D225" w14:textId="77777777" w:rsidR="000F170C" w:rsidRPr="00DE79CB" w:rsidRDefault="000F170C" w:rsidP="004E7734">
            <w:pPr>
              <w:spacing w:after="0" w:line="240" w:lineRule="auto"/>
              <w:rPr>
                <w:rFonts w:ascii="Verdana" w:eastAsia="Verdana" w:hAnsi="Verdana" w:cs="Verdana"/>
                <w:sz w:val="18"/>
                <w:szCs w:val="18"/>
                <w:lang w:val="en-US"/>
              </w:rPr>
            </w:pPr>
          </w:p>
        </w:tc>
        <w:tc>
          <w:tcPr>
            <w:tcW w:w="1732" w:type="dxa"/>
            <w:tcBorders>
              <w:top w:val="nil"/>
              <w:left w:val="nil"/>
              <w:bottom w:val="single" w:sz="6" w:space="0" w:color="FFFFFF"/>
              <w:right w:val="single" w:sz="6" w:space="0" w:color="FFFFFF"/>
            </w:tcBorders>
            <w:shd w:val="clear" w:color="auto" w:fill="E8E8E8"/>
            <w:vAlign w:val="center"/>
            <w:hideMark/>
          </w:tcPr>
          <w:p w14:paraId="498EBD84" w14:textId="77777777"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Fresh</w:t>
            </w:r>
            <w:proofErr w:type="spellEnd"/>
            <w:r w:rsidRPr="00DE79CB">
              <w:rPr>
                <w:rFonts w:ascii="Verdana" w:eastAsia="Verdana" w:hAnsi="Verdana" w:cs="Verdana"/>
                <w:sz w:val="18"/>
                <w:szCs w:val="18"/>
              </w:rPr>
              <w:t> </w:t>
            </w:r>
            <w:proofErr w:type="spellStart"/>
            <w:r w:rsidRPr="00DE79CB">
              <w:rPr>
                <w:rFonts w:ascii="Verdana" w:eastAsia="Verdana" w:hAnsi="Verdana" w:cs="Verdana"/>
                <w:sz w:val="18"/>
                <w:szCs w:val="18"/>
              </w:rPr>
              <w:t>vegetables</w:t>
            </w:r>
            <w:proofErr w:type="spellEnd"/>
            <w:r w:rsidRPr="00DE79CB">
              <w:rPr>
                <w:rFonts w:ascii="Verdana" w:eastAsia="Verdana" w:hAnsi="Verdana" w:cs="Verdana"/>
                <w:sz w:val="18"/>
                <w:szCs w:val="18"/>
              </w:rPr>
              <w:t xml:space="preserve">  </w:t>
            </w:r>
            <w:proofErr w:type="spellStart"/>
            <w:r w:rsidRPr="00DE79CB">
              <w:rPr>
                <w:rFonts w:ascii="Verdana" w:eastAsia="Verdana" w:hAnsi="Verdana" w:cs="Verdana"/>
                <w:sz w:val="18"/>
                <w:szCs w:val="18"/>
              </w:rPr>
              <w:t>and</w:t>
            </w:r>
            <w:proofErr w:type="spellEnd"/>
            <w:r w:rsidRPr="00DE79CB">
              <w:rPr>
                <w:rFonts w:ascii="Verdana" w:eastAsia="Verdana" w:hAnsi="Verdana" w:cs="Verdana"/>
                <w:sz w:val="18"/>
                <w:szCs w:val="18"/>
              </w:rPr>
              <w:t> fruit </w:t>
            </w:r>
          </w:p>
        </w:tc>
        <w:tc>
          <w:tcPr>
            <w:tcW w:w="5213" w:type="dxa"/>
            <w:vMerge/>
            <w:tcBorders>
              <w:top w:val="single" w:sz="6" w:space="0" w:color="FFFFFF"/>
              <w:left w:val="single" w:sz="6" w:space="0" w:color="FFFFFF"/>
              <w:bottom w:val="single" w:sz="6" w:space="0" w:color="FFFFFF"/>
              <w:right w:val="single" w:sz="6" w:space="0" w:color="FFFFFF"/>
            </w:tcBorders>
            <w:vAlign w:val="center"/>
            <w:hideMark/>
          </w:tcPr>
          <w:p w14:paraId="04095643" w14:textId="77777777" w:rsidR="000F170C" w:rsidRPr="00DE79CB" w:rsidRDefault="000F170C" w:rsidP="004E7734">
            <w:pPr>
              <w:spacing w:after="0" w:line="240" w:lineRule="auto"/>
              <w:rPr>
                <w:rFonts w:ascii="Verdana" w:eastAsia="Verdana" w:hAnsi="Verdana" w:cs="Verdana"/>
                <w:sz w:val="18"/>
                <w:szCs w:val="18"/>
              </w:rPr>
            </w:pPr>
          </w:p>
        </w:tc>
      </w:tr>
      <w:tr w:rsidR="000F170C" w:rsidRPr="00DE79CB" w14:paraId="52F6BE1B" w14:textId="77777777" w:rsidTr="004E7734">
        <w:trPr>
          <w:trHeight w:val="225"/>
        </w:trPr>
        <w:tc>
          <w:tcPr>
            <w:tcW w:w="1264" w:type="dxa"/>
            <w:vMerge/>
            <w:tcBorders>
              <w:top w:val="nil"/>
              <w:left w:val="single" w:sz="6" w:space="0" w:color="FFFFFF"/>
              <w:bottom w:val="single" w:sz="6" w:space="0" w:color="FFFFFF"/>
              <w:right w:val="single" w:sz="6" w:space="0" w:color="FFFFFF"/>
            </w:tcBorders>
            <w:vAlign w:val="center"/>
            <w:hideMark/>
          </w:tcPr>
          <w:p w14:paraId="09E26E89" w14:textId="77777777" w:rsidR="000F170C" w:rsidRPr="00DE79CB" w:rsidRDefault="000F170C" w:rsidP="004E7734">
            <w:pPr>
              <w:spacing w:after="0" w:line="240" w:lineRule="auto"/>
              <w:rPr>
                <w:rFonts w:ascii="Verdana" w:eastAsia="Verdana" w:hAnsi="Verdana" w:cs="Verdana"/>
                <w:sz w:val="18"/>
                <w:szCs w:val="18"/>
              </w:rPr>
            </w:pPr>
          </w:p>
        </w:tc>
        <w:tc>
          <w:tcPr>
            <w:tcW w:w="863" w:type="dxa"/>
            <w:vMerge/>
            <w:tcBorders>
              <w:top w:val="nil"/>
              <w:left w:val="single" w:sz="6" w:space="0" w:color="FFFFFF"/>
              <w:bottom w:val="single" w:sz="6" w:space="0" w:color="FFFFFF"/>
              <w:right w:val="single" w:sz="6" w:space="0" w:color="FFFFFF"/>
            </w:tcBorders>
            <w:vAlign w:val="center"/>
            <w:hideMark/>
          </w:tcPr>
          <w:p w14:paraId="4EB738BD" w14:textId="77777777" w:rsidR="000F170C" w:rsidRPr="00DE79CB" w:rsidRDefault="000F170C" w:rsidP="004E7734">
            <w:pPr>
              <w:spacing w:after="0" w:line="240" w:lineRule="auto"/>
              <w:rPr>
                <w:rFonts w:ascii="Verdana" w:eastAsia="Verdana" w:hAnsi="Verdana" w:cs="Verdana"/>
                <w:sz w:val="18"/>
                <w:szCs w:val="18"/>
              </w:rPr>
            </w:pPr>
          </w:p>
        </w:tc>
        <w:tc>
          <w:tcPr>
            <w:tcW w:w="1732" w:type="dxa"/>
            <w:tcBorders>
              <w:top w:val="nil"/>
              <w:left w:val="nil"/>
              <w:bottom w:val="single" w:sz="6" w:space="0" w:color="FFFFFF"/>
              <w:right w:val="single" w:sz="6" w:space="0" w:color="FFFFFF"/>
            </w:tcBorders>
            <w:shd w:val="clear" w:color="auto" w:fill="E8E8E8"/>
            <w:vAlign w:val="center"/>
            <w:hideMark/>
          </w:tcPr>
          <w:p w14:paraId="660882A0"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Coffee </w:t>
            </w:r>
          </w:p>
        </w:tc>
        <w:tc>
          <w:tcPr>
            <w:tcW w:w="5213" w:type="dxa"/>
            <w:vMerge/>
            <w:tcBorders>
              <w:top w:val="single" w:sz="6" w:space="0" w:color="FFFFFF"/>
              <w:left w:val="single" w:sz="6" w:space="0" w:color="FFFFFF"/>
              <w:bottom w:val="single" w:sz="6" w:space="0" w:color="FFFFFF"/>
              <w:right w:val="single" w:sz="6" w:space="0" w:color="FFFFFF"/>
            </w:tcBorders>
            <w:vAlign w:val="center"/>
            <w:hideMark/>
          </w:tcPr>
          <w:p w14:paraId="6F881767" w14:textId="77777777" w:rsidR="000F170C" w:rsidRPr="00DE79CB" w:rsidRDefault="000F170C" w:rsidP="004E7734">
            <w:pPr>
              <w:spacing w:after="0" w:line="240" w:lineRule="auto"/>
              <w:rPr>
                <w:rFonts w:ascii="Verdana" w:eastAsia="Verdana" w:hAnsi="Verdana" w:cs="Verdana"/>
                <w:sz w:val="18"/>
                <w:szCs w:val="18"/>
              </w:rPr>
            </w:pPr>
          </w:p>
        </w:tc>
      </w:tr>
      <w:tr w:rsidR="000F170C" w:rsidRPr="00DE79CB" w14:paraId="44FEA8D4" w14:textId="77777777" w:rsidTr="004E7734">
        <w:trPr>
          <w:trHeight w:val="225"/>
        </w:trPr>
        <w:tc>
          <w:tcPr>
            <w:tcW w:w="1264" w:type="dxa"/>
            <w:vMerge/>
            <w:tcBorders>
              <w:top w:val="nil"/>
              <w:left w:val="single" w:sz="6" w:space="0" w:color="FFFFFF"/>
              <w:bottom w:val="single" w:sz="6" w:space="0" w:color="FFFFFF"/>
              <w:right w:val="single" w:sz="6" w:space="0" w:color="FFFFFF"/>
            </w:tcBorders>
            <w:vAlign w:val="center"/>
            <w:hideMark/>
          </w:tcPr>
          <w:p w14:paraId="5EE7FD08" w14:textId="77777777" w:rsidR="000F170C" w:rsidRPr="00DE79CB" w:rsidRDefault="000F170C" w:rsidP="004E7734">
            <w:pPr>
              <w:spacing w:after="0" w:line="240" w:lineRule="auto"/>
              <w:rPr>
                <w:rFonts w:ascii="Verdana" w:eastAsia="Verdana" w:hAnsi="Verdana" w:cs="Verdana"/>
                <w:sz w:val="18"/>
                <w:szCs w:val="18"/>
              </w:rPr>
            </w:pPr>
          </w:p>
        </w:tc>
        <w:tc>
          <w:tcPr>
            <w:tcW w:w="863" w:type="dxa"/>
            <w:vMerge/>
            <w:tcBorders>
              <w:top w:val="nil"/>
              <w:left w:val="single" w:sz="6" w:space="0" w:color="FFFFFF"/>
              <w:bottom w:val="single" w:sz="6" w:space="0" w:color="FFFFFF"/>
              <w:right w:val="single" w:sz="6" w:space="0" w:color="FFFFFF"/>
            </w:tcBorders>
            <w:vAlign w:val="center"/>
            <w:hideMark/>
          </w:tcPr>
          <w:p w14:paraId="04E2F2FA" w14:textId="77777777" w:rsidR="000F170C" w:rsidRPr="00DE79CB" w:rsidRDefault="000F170C" w:rsidP="004E7734">
            <w:pPr>
              <w:spacing w:after="0" w:line="240" w:lineRule="auto"/>
              <w:rPr>
                <w:rFonts w:ascii="Verdana" w:eastAsia="Verdana" w:hAnsi="Verdana" w:cs="Verdana"/>
                <w:sz w:val="18"/>
                <w:szCs w:val="18"/>
              </w:rPr>
            </w:pPr>
          </w:p>
        </w:tc>
        <w:tc>
          <w:tcPr>
            <w:tcW w:w="1732" w:type="dxa"/>
            <w:tcBorders>
              <w:top w:val="nil"/>
              <w:left w:val="nil"/>
              <w:bottom w:val="single" w:sz="6" w:space="0" w:color="FFFFFF"/>
              <w:right w:val="single" w:sz="6" w:space="0" w:color="FFFFFF"/>
            </w:tcBorders>
            <w:shd w:val="clear" w:color="auto" w:fill="E8E8E8"/>
            <w:vAlign w:val="center"/>
            <w:hideMark/>
          </w:tcPr>
          <w:p w14:paraId="119016D9" w14:textId="77777777"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Flowers</w:t>
            </w:r>
            <w:proofErr w:type="spellEnd"/>
            <w:r w:rsidRPr="00DE79CB">
              <w:rPr>
                <w:rFonts w:ascii="Verdana" w:eastAsia="Verdana" w:hAnsi="Verdana" w:cs="Verdana"/>
                <w:sz w:val="18"/>
                <w:szCs w:val="18"/>
              </w:rPr>
              <w:t> &amp; </w:t>
            </w:r>
            <w:proofErr w:type="spellStart"/>
            <w:r w:rsidRPr="00DE79CB">
              <w:rPr>
                <w:rFonts w:ascii="Verdana" w:eastAsia="Verdana" w:hAnsi="Verdana" w:cs="Verdana"/>
                <w:sz w:val="18"/>
                <w:szCs w:val="18"/>
              </w:rPr>
              <w:t>cuttings</w:t>
            </w:r>
            <w:proofErr w:type="spellEnd"/>
            <w:r w:rsidRPr="00DE79CB">
              <w:rPr>
                <w:rFonts w:ascii="Verdana" w:eastAsia="Verdana" w:hAnsi="Verdana" w:cs="Verdana"/>
                <w:sz w:val="18"/>
                <w:szCs w:val="18"/>
              </w:rPr>
              <w:t> </w:t>
            </w:r>
          </w:p>
        </w:tc>
        <w:tc>
          <w:tcPr>
            <w:tcW w:w="5213" w:type="dxa"/>
            <w:vMerge/>
            <w:tcBorders>
              <w:top w:val="single" w:sz="6" w:space="0" w:color="FFFFFF"/>
              <w:left w:val="single" w:sz="6" w:space="0" w:color="FFFFFF"/>
              <w:bottom w:val="single" w:sz="6" w:space="0" w:color="FFFFFF"/>
              <w:right w:val="single" w:sz="6" w:space="0" w:color="FFFFFF"/>
            </w:tcBorders>
            <w:vAlign w:val="center"/>
            <w:hideMark/>
          </w:tcPr>
          <w:p w14:paraId="5FC934E2" w14:textId="77777777" w:rsidR="000F170C" w:rsidRPr="00DE79CB" w:rsidRDefault="000F170C" w:rsidP="004E7734">
            <w:pPr>
              <w:spacing w:after="0" w:line="240" w:lineRule="auto"/>
              <w:rPr>
                <w:rFonts w:ascii="Verdana" w:eastAsia="Verdana" w:hAnsi="Verdana" w:cs="Verdana"/>
                <w:sz w:val="18"/>
                <w:szCs w:val="18"/>
              </w:rPr>
            </w:pPr>
          </w:p>
        </w:tc>
      </w:tr>
      <w:tr w:rsidR="000F170C" w:rsidRPr="00DE79CB" w14:paraId="7960ACEA" w14:textId="77777777" w:rsidTr="004E7734">
        <w:trPr>
          <w:trHeight w:val="225"/>
        </w:trPr>
        <w:tc>
          <w:tcPr>
            <w:tcW w:w="1264" w:type="dxa"/>
            <w:tcBorders>
              <w:top w:val="nil"/>
              <w:left w:val="single" w:sz="6" w:space="0" w:color="FFFFFF"/>
              <w:bottom w:val="single" w:sz="6" w:space="0" w:color="FFFFFF"/>
              <w:right w:val="single" w:sz="6" w:space="0" w:color="FFFFFF"/>
            </w:tcBorders>
            <w:shd w:val="clear" w:color="auto" w:fill="D9D9D9"/>
            <w:vAlign w:val="center"/>
            <w:hideMark/>
          </w:tcPr>
          <w:p w14:paraId="789FA7FA"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Ghana </w:t>
            </w:r>
          </w:p>
        </w:tc>
        <w:tc>
          <w:tcPr>
            <w:tcW w:w="863" w:type="dxa"/>
            <w:tcBorders>
              <w:top w:val="nil"/>
              <w:left w:val="single" w:sz="6" w:space="0" w:color="FFFFFF"/>
              <w:bottom w:val="single" w:sz="6" w:space="0" w:color="FFFFFF"/>
              <w:right w:val="single" w:sz="6" w:space="0" w:color="FFFFFF"/>
            </w:tcBorders>
            <w:shd w:val="clear" w:color="auto" w:fill="D9D9D9"/>
            <w:vAlign w:val="center"/>
            <w:hideMark/>
          </w:tcPr>
          <w:p w14:paraId="1FFC0F4B" w14:textId="6238B06B"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Agri</w:t>
            </w:r>
            <w:r w:rsidR="00651AE4" w:rsidRPr="00DE79CB">
              <w:rPr>
                <w:rFonts w:ascii="Verdana" w:eastAsia="Verdana" w:hAnsi="Verdana" w:cs="Verdana"/>
                <w:sz w:val="18"/>
                <w:szCs w:val="18"/>
              </w:rPr>
              <w:t>culture</w:t>
            </w:r>
            <w:proofErr w:type="spellEnd"/>
            <w:r w:rsidRPr="00DE79CB">
              <w:rPr>
                <w:rFonts w:ascii="Verdana" w:eastAsia="Verdana" w:hAnsi="Verdana" w:cs="Verdana"/>
                <w:sz w:val="18"/>
                <w:szCs w:val="18"/>
              </w:rPr>
              <w:t> </w:t>
            </w:r>
          </w:p>
        </w:tc>
        <w:tc>
          <w:tcPr>
            <w:tcW w:w="1732" w:type="dxa"/>
            <w:tcBorders>
              <w:top w:val="nil"/>
              <w:left w:val="nil"/>
              <w:bottom w:val="single" w:sz="6" w:space="0" w:color="FFFFFF"/>
              <w:right w:val="single" w:sz="6" w:space="0" w:color="FFFFFF"/>
            </w:tcBorders>
            <w:shd w:val="clear" w:color="auto" w:fill="D9D9D9"/>
            <w:vAlign w:val="center"/>
            <w:hideMark/>
          </w:tcPr>
          <w:p w14:paraId="23E37243"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Cacao </w:t>
            </w:r>
          </w:p>
        </w:tc>
        <w:tc>
          <w:tcPr>
            <w:tcW w:w="5213" w:type="dxa"/>
            <w:tcBorders>
              <w:top w:val="nil"/>
              <w:left w:val="single" w:sz="6" w:space="0" w:color="FFFFFF"/>
              <w:bottom w:val="single" w:sz="6" w:space="0" w:color="FFFFFF"/>
              <w:right w:val="single" w:sz="6" w:space="0" w:color="FFFFFF"/>
            </w:tcBorders>
            <w:shd w:val="clear" w:color="auto" w:fill="D9D9D9"/>
            <w:hideMark/>
          </w:tcPr>
          <w:p w14:paraId="67A328CA" w14:textId="77777777" w:rsidR="000F170C" w:rsidRPr="00DE79CB" w:rsidRDefault="000F170C"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Focus on cooperatives, climate resilience, food and nutrition security, deforestation (EUDR), child labour, living income, promote and scale innovations at farm level, processing of cacao by-products, Cocoa Swollen Shoot Virus Disease  </w:t>
            </w:r>
          </w:p>
        </w:tc>
      </w:tr>
      <w:tr w:rsidR="000F170C" w:rsidRPr="00DE79CB" w14:paraId="2F3CE987" w14:textId="77777777" w:rsidTr="004E7734">
        <w:trPr>
          <w:trHeight w:val="450"/>
        </w:trPr>
        <w:tc>
          <w:tcPr>
            <w:tcW w:w="1264" w:type="dxa"/>
            <w:vMerge w:val="restart"/>
            <w:tcBorders>
              <w:top w:val="nil"/>
              <w:left w:val="single" w:sz="6" w:space="0" w:color="FFFFFF"/>
              <w:bottom w:val="single" w:sz="6" w:space="0" w:color="FFFFFF"/>
              <w:right w:val="single" w:sz="6" w:space="0" w:color="FFFFFF"/>
            </w:tcBorders>
            <w:shd w:val="clear" w:color="auto" w:fill="E8E8E8"/>
            <w:vAlign w:val="center"/>
            <w:hideMark/>
          </w:tcPr>
          <w:p w14:paraId="08220710"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India </w:t>
            </w:r>
          </w:p>
        </w:tc>
        <w:tc>
          <w:tcPr>
            <w:tcW w:w="863" w:type="dxa"/>
            <w:tcBorders>
              <w:top w:val="single" w:sz="6" w:space="0" w:color="FFFFFF"/>
              <w:left w:val="single" w:sz="6" w:space="0" w:color="FFFFFF"/>
              <w:bottom w:val="single" w:sz="6" w:space="0" w:color="FFFFFF"/>
              <w:right w:val="single" w:sz="6" w:space="0" w:color="FFFFFF"/>
            </w:tcBorders>
            <w:shd w:val="clear" w:color="auto" w:fill="E8E8E8"/>
            <w:vAlign w:val="center"/>
            <w:hideMark/>
          </w:tcPr>
          <w:p w14:paraId="1C759B99" w14:textId="64920AB0"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Agri</w:t>
            </w:r>
            <w:r w:rsidR="00651AE4" w:rsidRPr="00DE79CB">
              <w:rPr>
                <w:rFonts w:ascii="Verdana" w:eastAsia="Verdana" w:hAnsi="Verdana" w:cs="Verdana"/>
                <w:sz w:val="18"/>
                <w:szCs w:val="18"/>
              </w:rPr>
              <w:t>culture</w:t>
            </w:r>
            <w:proofErr w:type="spellEnd"/>
            <w:r w:rsidRPr="00DE79CB">
              <w:rPr>
                <w:rFonts w:ascii="Verdana" w:eastAsia="Verdana" w:hAnsi="Verdana" w:cs="Verdana"/>
                <w:sz w:val="18"/>
                <w:szCs w:val="18"/>
              </w:rPr>
              <w:t> </w:t>
            </w:r>
          </w:p>
        </w:tc>
        <w:tc>
          <w:tcPr>
            <w:tcW w:w="1732" w:type="dxa"/>
            <w:tcBorders>
              <w:top w:val="nil"/>
              <w:left w:val="nil"/>
              <w:bottom w:val="single" w:sz="6" w:space="0" w:color="FFFFFF"/>
              <w:right w:val="single" w:sz="6" w:space="0" w:color="FFFFFF"/>
            </w:tcBorders>
            <w:shd w:val="clear" w:color="auto" w:fill="E8E8E8"/>
            <w:vAlign w:val="center"/>
            <w:hideMark/>
          </w:tcPr>
          <w:p w14:paraId="66DF0B8E" w14:textId="183E42BD"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Horti</w:t>
            </w:r>
            <w:r w:rsidR="00651AE4" w:rsidRPr="00DE79CB">
              <w:rPr>
                <w:rFonts w:ascii="Verdana" w:eastAsia="Verdana" w:hAnsi="Verdana" w:cs="Verdana"/>
                <w:sz w:val="18"/>
                <w:szCs w:val="18"/>
              </w:rPr>
              <w:t>culture</w:t>
            </w:r>
            <w:proofErr w:type="spellEnd"/>
            <w:r w:rsidRPr="00DE79CB">
              <w:rPr>
                <w:rFonts w:ascii="Verdana" w:eastAsia="Verdana" w:hAnsi="Verdana" w:cs="Verdana"/>
                <w:sz w:val="18"/>
                <w:szCs w:val="18"/>
              </w:rPr>
              <w:t> </w:t>
            </w:r>
          </w:p>
        </w:tc>
        <w:tc>
          <w:tcPr>
            <w:tcW w:w="5213" w:type="dxa"/>
            <w:tcBorders>
              <w:top w:val="nil"/>
              <w:left w:val="single" w:sz="6" w:space="0" w:color="FFFFFF"/>
              <w:bottom w:val="single" w:sz="6" w:space="0" w:color="FFFFFF"/>
              <w:right w:val="single" w:sz="6" w:space="0" w:color="FFFFFF"/>
            </w:tcBorders>
            <w:shd w:val="clear" w:color="auto" w:fill="E8E8E8"/>
            <w:hideMark/>
          </w:tcPr>
          <w:p w14:paraId="15CB31A9" w14:textId="58537AD6" w:rsidR="000F170C" w:rsidRPr="00DE79CB" w:rsidRDefault="000F170C" w:rsidP="004E7734">
            <w:pPr>
              <w:spacing w:after="0" w:line="240" w:lineRule="auto"/>
              <w:rPr>
                <w:rFonts w:ascii="Verdana" w:eastAsia="Verdana" w:hAnsi="Verdana" w:cs="Verdana"/>
                <w:sz w:val="18"/>
                <w:szCs w:val="18"/>
                <w:lang w:val="en-US"/>
              </w:rPr>
            </w:pPr>
            <w:proofErr w:type="spellStart"/>
            <w:r w:rsidRPr="00DE79CB">
              <w:rPr>
                <w:rFonts w:ascii="Verdana" w:eastAsia="Verdana" w:hAnsi="Verdana" w:cs="Verdana"/>
                <w:sz w:val="18"/>
                <w:szCs w:val="18"/>
                <w:lang w:val="en-US"/>
              </w:rPr>
              <w:t>Waterscarcity</w:t>
            </w:r>
            <w:proofErr w:type="spellEnd"/>
            <w:r w:rsidRPr="00DE79CB">
              <w:rPr>
                <w:rFonts w:ascii="Verdana" w:eastAsia="Verdana" w:hAnsi="Verdana" w:cs="Verdana"/>
                <w:sz w:val="18"/>
                <w:szCs w:val="18"/>
                <w:lang w:val="en-US"/>
              </w:rPr>
              <w:t>, sustainable energy, waste management, climate adaptation, technological innovation to support sustainable production, reduce use of antibiotics and prevent zoonosis</w:t>
            </w:r>
            <w:r w:rsidR="00651AE4" w:rsidRPr="00DE79CB">
              <w:rPr>
                <w:rFonts w:ascii="Verdana" w:eastAsia="Verdana" w:hAnsi="Verdana" w:cs="Verdana"/>
                <w:sz w:val="18"/>
                <w:szCs w:val="18"/>
                <w:lang w:val="en-US"/>
              </w:rPr>
              <w:t>, living wage</w:t>
            </w:r>
          </w:p>
        </w:tc>
      </w:tr>
      <w:tr w:rsidR="000F170C" w:rsidRPr="00DE79CB" w14:paraId="5340043A" w14:textId="77777777" w:rsidTr="003C297D">
        <w:trPr>
          <w:trHeight w:val="675"/>
        </w:trPr>
        <w:tc>
          <w:tcPr>
            <w:tcW w:w="1264" w:type="dxa"/>
            <w:vMerge/>
            <w:tcBorders>
              <w:top w:val="nil"/>
              <w:left w:val="single" w:sz="6" w:space="0" w:color="FFFFFF"/>
              <w:bottom w:val="single" w:sz="6" w:space="0" w:color="FFFFFF"/>
              <w:right w:val="single" w:sz="6" w:space="0" w:color="FFFFFF"/>
            </w:tcBorders>
            <w:vAlign w:val="center"/>
            <w:hideMark/>
          </w:tcPr>
          <w:p w14:paraId="6E30D5BC" w14:textId="77777777" w:rsidR="000F170C" w:rsidRPr="00DE79CB" w:rsidRDefault="000F170C" w:rsidP="004E7734">
            <w:pPr>
              <w:spacing w:after="0" w:line="240" w:lineRule="auto"/>
              <w:rPr>
                <w:rFonts w:ascii="Verdana" w:eastAsia="Verdana" w:hAnsi="Verdana" w:cs="Verdana"/>
                <w:sz w:val="18"/>
                <w:szCs w:val="18"/>
                <w:lang w:val="en-US"/>
              </w:rPr>
            </w:pPr>
          </w:p>
        </w:tc>
        <w:tc>
          <w:tcPr>
            <w:tcW w:w="863" w:type="dxa"/>
            <w:tcBorders>
              <w:top w:val="nil"/>
              <w:left w:val="nil"/>
              <w:bottom w:val="single" w:sz="6" w:space="0" w:color="FFFFFF"/>
              <w:right w:val="single" w:sz="6" w:space="0" w:color="FFFFFF"/>
            </w:tcBorders>
            <w:shd w:val="clear" w:color="auto" w:fill="E8E8E8"/>
            <w:vAlign w:val="center"/>
            <w:hideMark/>
          </w:tcPr>
          <w:p w14:paraId="62847658"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CRM </w:t>
            </w:r>
          </w:p>
        </w:tc>
        <w:tc>
          <w:tcPr>
            <w:tcW w:w="1732" w:type="dxa"/>
            <w:tcBorders>
              <w:top w:val="nil"/>
              <w:left w:val="nil"/>
              <w:bottom w:val="single" w:sz="6" w:space="0" w:color="FFFFFF" w:themeColor="background1"/>
              <w:right w:val="single" w:sz="6" w:space="0" w:color="FFFFFF"/>
            </w:tcBorders>
            <w:shd w:val="clear" w:color="auto" w:fill="E8E8E8"/>
            <w:vAlign w:val="center"/>
            <w:hideMark/>
          </w:tcPr>
          <w:p w14:paraId="0EBD0149" w14:textId="77777777"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Various</w:t>
            </w:r>
            <w:proofErr w:type="spellEnd"/>
            <w:r w:rsidRPr="00DE79CB">
              <w:rPr>
                <w:rFonts w:ascii="Verdana" w:eastAsia="Verdana" w:hAnsi="Verdana" w:cs="Verdana"/>
                <w:sz w:val="18"/>
                <w:szCs w:val="18"/>
              </w:rPr>
              <w:t> </w:t>
            </w:r>
          </w:p>
        </w:tc>
        <w:tc>
          <w:tcPr>
            <w:tcW w:w="5213" w:type="dxa"/>
            <w:tcBorders>
              <w:top w:val="nil"/>
              <w:left w:val="nil"/>
              <w:bottom w:val="single" w:sz="6" w:space="0" w:color="FFFFFF" w:themeColor="background1"/>
              <w:right w:val="single" w:sz="6" w:space="0" w:color="FFFFFF"/>
            </w:tcBorders>
            <w:shd w:val="clear" w:color="auto" w:fill="E8E8E8"/>
            <w:vAlign w:val="bottom"/>
            <w:hideMark/>
          </w:tcPr>
          <w:p w14:paraId="03E715E7" w14:textId="6A48BA9B" w:rsidR="000F170C" w:rsidRPr="00DE79CB" w:rsidRDefault="000F170C"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 xml:space="preserve">Stable and safe supply of CRM to </w:t>
            </w:r>
            <w:r w:rsidR="00651AE4" w:rsidRPr="00DE79CB">
              <w:rPr>
                <w:rFonts w:ascii="Verdana" w:eastAsia="Verdana" w:hAnsi="Verdana" w:cs="Verdana"/>
                <w:sz w:val="18"/>
                <w:szCs w:val="18"/>
                <w:lang w:val="en-US"/>
              </w:rPr>
              <w:t xml:space="preserve">the Netherlands and </w:t>
            </w:r>
            <w:r w:rsidRPr="00DE79CB">
              <w:rPr>
                <w:rFonts w:ascii="Verdana" w:eastAsia="Verdana" w:hAnsi="Verdana" w:cs="Verdana"/>
                <w:sz w:val="18"/>
                <w:szCs w:val="18"/>
                <w:lang w:val="en-US"/>
              </w:rPr>
              <w:t>Europe </w:t>
            </w:r>
          </w:p>
        </w:tc>
      </w:tr>
      <w:tr w:rsidR="000F170C" w:rsidRPr="00DE79CB" w14:paraId="19C77FF3" w14:textId="77777777" w:rsidTr="003C297D">
        <w:trPr>
          <w:trHeight w:val="450"/>
        </w:trPr>
        <w:tc>
          <w:tcPr>
            <w:tcW w:w="1264" w:type="dxa"/>
            <w:vMerge w:val="restart"/>
            <w:tcBorders>
              <w:top w:val="nil"/>
              <w:left w:val="single" w:sz="6" w:space="0" w:color="FFFFFF"/>
              <w:bottom w:val="single" w:sz="6" w:space="0" w:color="FFFFFF"/>
              <w:right w:val="single" w:sz="6" w:space="0" w:color="FFFFFF"/>
            </w:tcBorders>
            <w:shd w:val="clear" w:color="auto" w:fill="D9D9D9"/>
            <w:vAlign w:val="center"/>
            <w:hideMark/>
          </w:tcPr>
          <w:p w14:paraId="59EEFF95"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Indonesia </w:t>
            </w:r>
          </w:p>
        </w:tc>
        <w:tc>
          <w:tcPr>
            <w:tcW w:w="863" w:type="dxa"/>
            <w:tcBorders>
              <w:top w:val="nil"/>
              <w:left w:val="nil"/>
              <w:bottom w:val="nil"/>
              <w:right w:val="single" w:sz="6" w:space="0" w:color="FFFFFF" w:themeColor="background1"/>
            </w:tcBorders>
            <w:shd w:val="clear" w:color="auto" w:fill="D9D9D9"/>
            <w:vAlign w:val="center"/>
            <w:hideMark/>
          </w:tcPr>
          <w:p w14:paraId="40CFE127" w14:textId="605F950F"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Agri</w:t>
            </w:r>
            <w:r w:rsidR="00651AE4" w:rsidRPr="00DE79CB">
              <w:rPr>
                <w:rFonts w:ascii="Verdana" w:eastAsia="Verdana" w:hAnsi="Verdana" w:cs="Verdana"/>
                <w:sz w:val="18"/>
                <w:szCs w:val="18"/>
              </w:rPr>
              <w:t>culture</w:t>
            </w:r>
            <w:proofErr w:type="spellEnd"/>
            <w:r w:rsidRPr="00DE79CB">
              <w:rPr>
                <w:rFonts w:ascii="Verdana" w:eastAsia="Verdana" w:hAnsi="Verdana" w:cs="Verdana"/>
                <w:sz w:val="18"/>
                <w:szCs w:val="18"/>
              </w:rPr>
              <w:t> </w:t>
            </w:r>
          </w:p>
        </w:tc>
        <w:tc>
          <w:tcPr>
            <w:tcW w:w="173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vAlign w:val="center"/>
            <w:hideMark/>
          </w:tcPr>
          <w:p w14:paraId="01FD6FD6" w14:textId="159C5A82" w:rsidR="000F170C" w:rsidRPr="00DE79CB" w:rsidRDefault="00651AE4"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Horticulture</w:t>
            </w:r>
            <w:proofErr w:type="spellEnd"/>
            <w:r w:rsidRPr="00DE79CB">
              <w:rPr>
                <w:rFonts w:ascii="Verdana" w:eastAsia="Verdana" w:hAnsi="Verdana" w:cs="Verdana"/>
                <w:sz w:val="18"/>
                <w:szCs w:val="18"/>
              </w:rPr>
              <w:t xml:space="preserve"> </w:t>
            </w:r>
          </w:p>
        </w:tc>
        <w:tc>
          <w:tcPr>
            <w:tcW w:w="5213" w:type="dxa"/>
            <w:vMerge w:val="restar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vAlign w:val="bottom"/>
            <w:hideMark/>
          </w:tcPr>
          <w:p w14:paraId="72B80FF9" w14:textId="2A48DCE2" w:rsidR="000F170C" w:rsidRPr="00DE79CB" w:rsidRDefault="000F170C"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 xml:space="preserve">Deforestation, water management,  </w:t>
            </w:r>
            <w:r w:rsidR="00651AE4" w:rsidRPr="00DE79CB">
              <w:rPr>
                <w:rFonts w:ascii="Verdana" w:eastAsia="Verdana" w:hAnsi="Verdana" w:cs="Verdana"/>
                <w:sz w:val="18"/>
                <w:szCs w:val="18"/>
                <w:lang w:val="en-US"/>
              </w:rPr>
              <w:t xml:space="preserve">living wage </w:t>
            </w:r>
            <w:r w:rsidRPr="00DE79CB">
              <w:rPr>
                <w:rFonts w:ascii="Verdana" w:eastAsia="Verdana" w:hAnsi="Verdana" w:cs="Verdana"/>
                <w:sz w:val="18"/>
                <w:szCs w:val="18"/>
                <w:lang w:val="en-US"/>
              </w:rPr>
              <w:t xml:space="preserve">(smallholders), </w:t>
            </w:r>
            <w:r w:rsidR="00651AE4" w:rsidRPr="00DE79CB">
              <w:rPr>
                <w:rFonts w:ascii="Verdana" w:eastAsia="Verdana" w:hAnsi="Verdana" w:cs="Verdana"/>
                <w:sz w:val="18"/>
                <w:szCs w:val="18"/>
                <w:lang w:val="en-US"/>
              </w:rPr>
              <w:t xml:space="preserve">fair work, </w:t>
            </w:r>
            <w:r w:rsidRPr="00DE79CB">
              <w:rPr>
                <w:rFonts w:ascii="Verdana" w:eastAsia="Verdana" w:hAnsi="Verdana" w:cs="Verdana"/>
                <w:sz w:val="18"/>
                <w:szCs w:val="18"/>
                <w:lang w:val="en-US"/>
              </w:rPr>
              <w:t>knowledge infrastructure, digitalization </w:t>
            </w:r>
          </w:p>
          <w:p w14:paraId="1A49BC3F"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lang w:val="en-US"/>
              </w:rPr>
              <w:t> </w:t>
            </w:r>
            <w:r w:rsidRPr="00DE79CB">
              <w:rPr>
                <w:rFonts w:ascii="Verdana" w:eastAsia="Verdana" w:hAnsi="Verdana" w:cs="Verdana"/>
                <w:sz w:val="18"/>
                <w:szCs w:val="18"/>
              </w:rPr>
              <w:t> </w:t>
            </w:r>
          </w:p>
        </w:tc>
      </w:tr>
      <w:tr w:rsidR="000F170C" w:rsidRPr="00DE79CB" w14:paraId="00CFA3A5" w14:textId="77777777" w:rsidTr="003C297D">
        <w:trPr>
          <w:trHeight w:val="225"/>
        </w:trPr>
        <w:tc>
          <w:tcPr>
            <w:tcW w:w="1264" w:type="dxa"/>
            <w:vMerge/>
            <w:tcBorders>
              <w:top w:val="nil"/>
              <w:left w:val="single" w:sz="6" w:space="0" w:color="FFFFFF"/>
              <w:bottom w:val="single" w:sz="6" w:space="0" w:color="FFFFFF"/>
              <w:right w:val="single" w:sz="6" w:space="0" w:color="FFFFFF"/>
            </w:tcBorders>
            <w:vAlign w:val="center"/>
            <w:hideMark/>
          </w:tcPr>
          <w:p w14:paraId="1584568F" w14:textId="77777777" w:rsidR="000F170C" w:rsidRPr="00DE79CB" w:rsidRDefault="000F170C" w:rsidP="004E7734">
            <w:pPr>
              <w:spacing w:after="0" w:line="240" w:lineRule="auto"/>
              <w:rPr>
                <w:rFonts w:ascii="Verdana" w:eastAsia="Verdana" w:hAnsi="Verdana" w:cs="Verdana"/>
                <w:sz w:val="18"/>
                <w:szCs w:val="18"/>
              </w:rPr>
            </w:pPr>
          </w:p>
        </w:tc>
        <w:tc>
          <w:tcPr>
            <w:tcW w:w="863" w:type="dxa"/>
            <w:tcBorders>
              <w:top w:val="nil"/>
              <w:left w:val="nil"/>
              <w:bottom w:val="single" w:sz="6" w:space="0" w:color="FFFFFF"/>
              <w:right w:val="single" w:sz="6" w:space="0" w:color="FFFFFF" w:themeColor="background1"/>
            </w:tcBorders>
            <w:shd w:val="clear" w:color="auto" w:fill="D9D9D9"/>
            <w:vAlign w:val="center"/>
            <w:hideMark/>
          </w:tcPr>
          <w:p w14:paraId="10F97828"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lang w:val="en-US"/>
              </w:rPr>
              <w:t> </w:t>
            </w:r>
            <w:r w:rsidRPr="00DE79CB">
              <w:rPr>
                <w:rFonts w:ascii="Verdana" w:eastAsia="Verdana" w:hAnsi="Verdana" w:cs="Verdana"/>
                <w:sz w:val="18"/>
                <w:szCs w:val="18"/>
              </w:rPr>
              <w:t> </w:t>
            </w:r>
          </w:p>
        </w:tc>
        <w:tc>
          <w:tcPr>
            <w:tcW w:w="173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vAlign w:val="center"/>
            <w:hideMark/>
          </w:tcPr>
          <w:p w14:paraId="4D833F97"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Palm </w:t>
            </w:r>
            <w:proofErr w:type="spellStart"/>
            <w:r w:rsidRPr="00DE79CB">
              <w:rPr>
                <w:rFonts w:ascii="Verdana" w:eastAsia="Verdana" w:hAnsi="Verdana" w:cs="Verdana"/>
                <w:sz w:val="18"/>
                <w:szCs w:val="18"/>
              </w:rPr>
              <w:t>oil</w:t>
            </w:r>
            <w:proofErr w:type="spellEnd"/>
            <w:r w:rsidRPr="00DE79CB">
              <w:rPr>
                <w:rFonts w:ascii="Verdana" w:eastAsia="Verdana" w:hAnsi="Verdana" w:cs="Verdana"/>
                <w:sz w:val="18"/>
                <w:szCs w:val="18"/>
              </w:rPr>
              <w:t> </w:t>
            </w:r>
          </w:p>
        </w:tc>
        <w:tc>
          <w:tcPr>
            <w:tcW w:w="5213" w:type="dxa"/>
            <w:vMerge/>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14:paraId="3F2B7260" w14:textId="77777777" w:rsidR="000F170C" w:rsidRPr="00DE79CB" w:rsidRDefault="000F170C" w:rsidP="004E7734">
            <w:pPr>
              <w:spacing w:after="0" w:line="240" w:lineRule="auto"/>
              <w:rPr>
                <w:rFonts w:ascii="Verdana" w:eastAsia="Verdana" w:hAnsi="Verdana" w:cs="Verdana"/>
                <w:sz w:val="18"/>
                <w:szCs w:val="18"/>
              </w:rPr>
            </w:pPr>
          </w:p>
        </w:tc>
      </w:tr>
      <w:tr w:rsidR="00651AE4" w:rsidRPr="00DE79CB" w14:paraId="331E4288" w14:textId="77777777" w:rsidTr="00886FC9">
        <w:trPr>
          <w:trHeight w:val="1125"/>
        </w:trPr>
        <w:tc>
          <w:tcPr>
            <w:tcW w:w="1264" w:type="dxa"/>
            <w:vMerge/>
            <w:tcBorders>
              <w:top w:val="nil"/>
              <w:left w:val="single" w:sz="6" w:space="0" w:color="FFFFFF"/>
              <w:bottom w:val="single" w:sz="6" w:space="0" w:color="FFFFFF"/>
              <w:right w:val="single" w:sz="6" w:space="0" w:color="FFFFFF"/>
            </w:tcBorders>
            <w:vAlign w:val="center"/>
            <w:hideMark/>
          </w:tcPr>
          <w:p w14:paraId="38C5B175" w14:textId="77777777" w:rsidR="00651AE4" w:rsidRPr="00DE79CB" w:rsidRDefault="00651AE4" w:rsidP="004E7734">
            <w:pPr>
              <w:spacing w:after="0" w:line="240" w:lineRule="auto"/>
              <w:rPr>
                <w:rFonts w:ascii="Verdana" w:eastAsia="Verdana" w:hAnsi="Verdana" w:cs="Verdana"/>
                <w:sz w:val="18"/>
                <w:szCs w:val="18"/>
              </w:rPr>
            </w:pPr>
          </w:p>
        </w:tc>
        <w:tc>
          <w:tcPr>
            <w:tcW w:w="863" w:type="dxa"/>
            <w:vMerge w:val="restart"/>
            <w:tcBorders>
              <w:top w:val="single" w:sz="6" w:space="0" w:color="FFFFFF"/>
              <w:left w:val="single" w:sz="6" w:space="0" w:color="FFFFFF"/>
              <w:bottom w:val="single" w:sz="6" w:space="0" w:color="FFFFFF"/>
              <w:right w:val="single" w:sz="6" w:space="0" w:color="FFFFFF" w:themeColor="background1"/>
            </w:tcBorders>
            <w:shd w:val="clear" w:color="auto" w:fill="D9D9D9"/>
            <w:vAlign w:val="center"/>
            <w:hideMark/>
          </w:tcPr>
          <w:p w14:paraId="1335980B" w14:textId="77777777" w:rsidR="00651AE4" w:rsidRPr="00DE79CB" w:rsidRDefault="00651AE4"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CRM </w:t>
            </w:r>
          </w:p>
        </w:tc>
        <w:tc>
          <w:tcPr>
            <w:tcW w:w="173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vAlign w:val="center"/>
            <w:hideMark/>
          </w:tcPr>
          <w:p w14:paraId="0A16A854" w14:textId="77777777" w:rsidR="00651AE4" w:rsidRPr="00DE79CB" w:rsidRDefault="00651AE4"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Lithium </w:t>
            </w:r>
          </w:p>
        </w:tc>
        <w:tc>
          <w:tcPr>
            <w:tcW w:w="5213"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D9D9D9"/>
            <w:vAlign w:val="bottom"/>
            <w:hideMark/>
          </w:tcPr>
          <w:p w14:paraId="6E4B29B5" w14:textId="0936C5C8" w:rsidR="00651AE4" w:rsidRPr="00DE79CB" w:rsidRDefault="00651AE4"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Living wage, working conditions, safety, environmental and health impact, land loss, deforestation</w:t>
            </w:r>
          </w:p>
          <w:p w14:paraId="22445930" w14:textId="548BF811" w:rsidR="00651AE4" w:rsidRPr="00DE79CB" w:rsidRDefault="00651AE4"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  </w:t>
            </w:r>
          </w:p>
        </w:tc>
      </w:tr>
      <w:tr w:rsidR="00651AE4" w:rsidRPr="00DE79CB" w14:paraId="2FDB78E1" w14:textId="77777777" w:rsidTr="00886FC9">
        <w:trPr>
          <w:trHeight w:val="450"/>
        </w:trPr>
        <w:tc>
          <w:tcPr>
            <w:tcW w:w="1264" w:type="dxa"/>
            <w:vMerge/>
            <w:tcBorders>
              <w:top w:val="nil"/>
              <w:left w:val="single" w:sz="6" w:space="0" w:color="FFFFFF"/>
              <w:bottom w:val="single" w:sz="6" w:space="0" w:color="FFFFFF"/>
              <w:right w:val="single" w:sz="6" w:space="0" w:color="FFFFFF"/>
            </w:tcBorders>
            <w:vAlign w:val="center"/>
            <w:hideMark/>
          </w:tcPr>
          <w:p w14:paraId="2AEB28CF" w14:textId="77777777" w:rsidR="00651AE4" w:rsidRPr="00DE79CB" w:rsidRDefault="00651AE4" w:rsidP="004E7734">
            <w:pPr>
              <w:spacing w:after="0" w:line="240" w:lineRule="auto"/>
              <w:rPr>
                <w:rFonts w:ascii="Verdana" w:eastAsia="Verdana" w:hAnsi="Verdana" w:cs="Verdana"/>
                <w:sz w:val="18"/>
                <w:szCs w:val="18"/>
              </w:rPr>
            </w:pPr>
          </w:p>
        </w:tc>
        <w:tc>
          <w:tcPr>
            <w:tcW w:w="863" w:type="dxa"/>
            <w:vMerge/>
            <w:tcBorders>
              <w:top w:val="single" w:sz="6" w:space="0" w:color="FFFFFF"/>
              <w:left w:val="single" w:sz="6" w:space="0" w:color="FFFFFF"/>
              <w:bottom w:val="single" w:sz="6" w:space="0" w:color="FFFFFF"/>
              <w:right w:val="single" w:sz="6" w:space="0" w:color="FFFFFF" w:themeColor="background1"/>
            </w:tcBorders>
            <w:vAlign w:val="center"/>
            <w:hideMark/>
          </w:tcPr>
          <w:p w14:paraId="1A895907" w14:textId="77777777" w:rsidR="00651AE4" w:rsidRPr="00DE79CB" w:rsidRDefault="00651AE4" w:rsidP="004E7734">
            <w:pPr>
              <w:spacing w:after="0" w:line="240" w:lineRule="auto"/>
              <w:rPr>
                <w:rFonts w:ascii="Verdana" w:eastAsia="Verdana" w:hAnsi="Verdana" w:cs="Verdana"/>
                <w:sz w:val="18"/>
                <w:szCs w:val="18"/>
              </w:rPr>
            </w:pPr>
          </w:p>
        </w:tc>
        <w:tc>
          <w:tcPr>
            <w:tcW w:w="173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vAlign w:val="center"/>
            <w:hideMark/>
          </w:tcPr>
          <w:p w14:paraId="2229347E" w14:textId="77777777" w:rsidR="00651AE4" w:rsidRPr="00DE79CB" w:rsidRDefault="00651AE4"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Nickel </w:t>
            </w:r>
          </w:p>
        </w:tc>
        <w:tc>
          <w:tcPr>
            <w:tcW w:w="5213" w:type="dxa"/>
            <w:vMerge/>
            <w:tcBorders>
              <w:left w:val="single" w:sz="6" w:space="0" w:color="FFFFFF" w:themeColor="background1"/>
              <w:bottom w:val="single" w:sz="6" w:space="0" w:color="FFFFFF" w:themeColor="background1"/>
              <w:right w:val="single" w:sz="6" w:space="0" w:color="FFFFFF" w:themeColor="background1"/>
            </w:tcBorders>
            <w:shd w:val="clear" w:color="auto" w:fill="D9D9D9"/>
            <w:vAlign w:val="bottom"/>
            <w:hideMark/>
          </w:tcPr>
          <w:p w14:paraId="21CF7C2C" w14:textId="7B1939A2" w:rsidR="00651AE4" w:rsidRPr="00DE79CB" w:rsidRDefault="00651AE4" w:rsidP="004E7734">
            <w:pPr>
              <w:spacing w:after="0" w:line="240" w:lineRule="auto"/>
              <w:rPr>
                <w:rFonts w:ascii="Verdana" w:eastAsia="Verdana" w:hAnsi="Verdana" w:cs="Verdana"/>
                <w:sz w:val="18"/>
                <w:szCs w:val="18"/>
              </w:rPr>
            </w:pPr>
          </w:p>
        </w:tc>
      </w:tr>
      <w:tr w:rsidR="00651AE4" w:rsidRPr="00DE79CB" w14:paraId="4A032598" w14:textId="77777777" w:rsidTr="0083547A">
        <w:trPr>
          <w:trHeight w:val="225"/>
        </w:trPr>
        <w:tc>
          <w:tcPr>
            <w:tcW w:w="1264" w:type="dxa"/>
            <w:vMerge w:val="restart"/>
            <w:tcBorders>
              <w:top w:val="nil"/>
              <w:left w:val="single" w:sz="6" w:space="0" w:color="FFFFFF"/>
              <w:bottom w:val="single" w:sz="6" w:space="0" w:color="FFFFFF"/>
              <w:right w:val="single" w:sz="6" w:space="0" w:color="FFFFFF"/>
            </w:tcBorders>
            <w:shd w:val="clear" w:color="auto" w:fill="E8E8E8"/>
            <w:vAlign w:val="center"/>
            <w:hideMark/>
          </w:tcPr>
          <w:p w14:paraId="11B921DD" w14:textId="77777777" w:rsidR="00651AE4" w:rsidRPr="00DE79CB" w:rsidRDefault="00651AE4"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Ivory Coast </w:t>
            </w:r>
          </w:p>
        </w:tc>
        <w:tc>
          <w:tcPr>
            <w:tcW w:w="863" w:type="dxa"/>
            <w:vMerge w:val="restart"/>
            <w:tcBorders>
              <w:top w:val="nil"/>
              <w:left w:val="single" w:sz="6" w:space="0" w:color="FFFFFF"/>
              <w:bottom w:val="single" w:sz="6" w:space="0" w:color="FFFFFF"/>
              <w:right w:val="single" w:sz="6" w:space="0" w:color="FFFFFF" w:themeColor="background1"/>
            </w:tcBorders>
            <w:shd w:val="clear" w:color="auto" w:fill="E8E8E8"/>
            <w:vAlign w:val="center"/>
            <w:hideMark/>
          </w:tcPr>
          <w:p w14:paraId="0654D1C3" w14:textId="676C79B1" w:rsidR="00651AE4" w:rsidRPr="00DE79CB" w:rsidRDefault="00651AE4"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Agriculture</w:t>
            </w:r>
            <w:proofErr w:type="spellEnd"/>
          </w:p>
        </w:tc>
        <w:tc>
          <w:tcPr>
            <w:tcW w:w="173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8E8E8"/>
            <w:vAlign w:val="center"/>
            <w:hideMark/>
          </w:tcPr>
          <w:p w14:paraId="7EFFDB56" w14:textId="5E41BF8D" w:rsidR="00651AE4" w:rsidRPr="00DE79CB" w:rsidRDefault="00651AE4"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Horticulture</w:t>
            </w:r>
            <w:proofErr w:type="spellEnd"/>
            <w:r w:rsidRPr="00DE79CB">
              <w:rPr>
                <w:rFonts w:ascii="Verdana" w:eastAsia="Verdana" w:hAnsi="Verdana" w:cs="Verdana"/>
                <w:sz w:val="18"/>
                <w:szCs w:val="18"/>
              </w:rPr>
              <w:t xml:space="preserve">  </w:t>
            </w:r>
          </w:p>
        </w:tc>
        <w:tc>
          <w:tcPr>
            <w:tcW w:w="5213"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E8E8E8"/>
            <w:vAlign w:val="bottom"/>
            <w:hideMark/>
          </w:tcPr>
          <w:p w14:paraId="388E669B" w14:textId="2A22DA07" w:rsidR="00651AE4" w:rsidRPr="00DE79CB" w:rsidRDefault="00651AE4" w:rsidP="00651AE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Living income, supply security, local processing and value addition, job creation, food and nutritional security, circularity, conservation and restoration of biodiversity, water management</w:t>
            </w:r>
          </w:p>
        </w:tc>
      </w:tr>
      <w:tr w:rsidR="00651AE4" w:rsidRPr="00DE79CB" w14:paraId="7BD0E9C5" w14:textId="77777777" w:rsidTr="0083547A">
        <w:trPr>
          <w:trHeight w:val="225"/>
        </w:trPr>
        <w:tc>
          <w:tcPr>
            <w:tcW w:w="1264" w:type="dxa"/>
            <w:vMerge/>
            <w:tcBorders>
              <w:top w:val="nil"/>
              <w:left w:val="single" w:sz="6" w:space="0" w:color="FFFFFF"/>
              <w:bottom w:val="single" w:sz="6" w:space="0" w:color="FFFFFF"/>
              <w:right w:val="single" w:sz="6" w:space="0" w:color="FFFFFF"/>
            </w:tcBorders>
            <w:vAlign w:val="center"/>
            <w:hideMark/>
          </w:tcPr>
          <w:p w14:paraId="75C61786" w14:textId="77777777" w:rsidR="00651AE4" w:rsidRPr="00DE79CB" w:rsidRDefault="00651AE4" w:rsidP="004E7734">
            <w:pPr>
              <w:spacing w:after="0" w:line="240" w:lineRule="auto"/>
              <w:rPr>
                <w:rFonts w:ascii="Verdana" w:eastAsia="Verdana" w:hAnsi="Verdana" w:cs="Verdana"/>
                <w:sz w:val="18"/>
                <w:szCs w:val="18"/>
                <w:lang w:val="en-US"/>
              </w:rPr>
            </w:pPr>
          </w:p>
        </w:tc>
        <w:tc>
          <w:tcPr>
            <w:tcW w:w="863" w:type="dxa"/>
            <w:vMerge/>
            <w:tcBorders>
              <w:top w:val="nil"/>
              <w:left w:val="single" w:sz="6" w:space="0" w:color="FFFFFF"/>
              <w:bottom w:val="single" w:sz="6" w:space="0" w:color="FFFFFF"/>
              <w:right w:val="single" w:sz="6" w:space="0" w:color="FFFFFF"/>
            </w:tcBorders>
            <w:vAlign w:val="center"/>
            <w:hideMark/>
          </w:tcPr>
          <w:p w14:paraId="4B8171AE" w14:textId="77777777" w:rsidR="00651AE4" w:rsidRPr="00DE79CB" w:rsidRDefault="00651AE4" w:rsidP="004E7734">
            <w:pPr>
              <w:spacing w:after="0" w:line="240" w:lineRule="auto"/>
              <w:rPr>
                <w:rFonts w:ascii="Verdana" w:eastAsia="Verdana" w:hAnsi="Verdana" w:cs="Verdana"/>
                <w:sz w:val="18"/>
                <w:szCs w:val="18"/>
                <w:lang w:val="en-US"/>
              </w:rPr>
            </w:pPr>
          </w:p>
        </w:tc>
        <w:tc>
          <w:tcPr>
            <w:tcW w:w="1732" w:type="dxa"/>
            <w:tcBorders>
              <w:top w:val="single" w:sz="6" w:space="0" w:color="FFFFFF" w:themeColor="background1"/>
              <w:left w:val="nil"/>
              <w:bottom w:val="single" w:sz="6" w:space="0" w:color="FFFFFF"/>
              <w:right w:val="single" w:sz="6" w:space="0" w:color="FFFFFF" w:themeColor="background1"/>
            </w:tcBorders>
            <w:shd w:val="clear" w:color="auto" w:fill="E8E8E8"/>
            <w:vAlign w:val="center"/>
            <w:hideMark/>
          </w:tcPr>
          <w:p w14:paraId="3FF2FFBF" w14:textId="77777777" w:rsidR="00651AE4" w:rsidRPr="00DE79CB" w:rsidRDefault="00651AE4"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Cacao </w:t>
            </w:r>
          </w:p>
        </w:tc>
        <w:tc>
          <w:tcPr>
            <w:tcW w:w="5213" w:type="dxa"/>
            <w:vMerge/>
            <w:tcBorders>
              <w:left w:val="single" w:sz="6" w:space="0" w:color="FFFFFF" w:themeColor="background1"/>
              <w:right w:val="single" w:sz="6" w:space="0" w:color="FFFFFF" w:themeColor="background1"/>
            </w:tcBorders>
            <w:shd w:val="clear" w:color="auto" w:fill="E8E8E8"/>
            <w:vAlign w:val="bottom"/>
            <w:hideMark/>
          </w:tcPr>
          <w:p w14:paraId="684A0C90" w14:textId="407AE5C6" w:rsidR="00651AE4" w:rsidRPr="00DE79CB" w:rsidRDefault="00651AE4" w:rsidP="004E7734">
            <w:pPr>
              <w:spacing w:after="0" w:line="240" w:lineRule="auto"/>
              <w:rPr>
                <w:rFonts w:ascii="Verdana" w:eastAsia="Verdana" w:hAnsi="Verdana" w:cs="Verdana"/>
                <w:sz w:val="18"/>
                <w:szCs w:val="18"/>
              </w:rPr>
            </w:pPr>
          </w:p>
        </w:tc>
      </w:tr>
      <w:tr w:rsidR="00651AE4" w:rsidRPr="00DE79CB" w14:paraId="783009A0" w14:textId="77777777" w:rsidTr="0083547A">
        <w:trPr>
          <w:trHeight w:val="225"/>
        </w:trPr>
        <w:tc>
          <w:tcPr>
            <w:tcW w:w="1264" w:type="dxa"/>
            <w:vMerge/>
            <w:tcBorders>
              <w:top w:val="nil"/>
              <w:left w:val="single" w:sz="6" w:space="0" w:color="FFFFFF"/>
              <w:bottom w:val="single" w:sz="6" w:space="0" w:color="FFFFFF"/>
              <w:right w:val="single" w:sz="6" w:space="0" w:color="FFFFFF"/>
            </w:tcBorders>
            <w:vAlign w:val="center"/>
            <w:hideMark/>
          </w:tcPr>
          <w:p w14:paraId="18A51544" w14:textId="77777777" w:rsidR="00651AE4" w:rsidRPr="00DE79CB" w:rsidRDefault="00651AE4" w:rsidP="004E7734">
            <w:pPr>
              <w:spacing w:after="0" w:line="240" w:lineRule="auto"/>
              <w:rPr>
                <w:rFonts w:ascii="Verdana" w:eastAsia="Verdana" w:hAnsi="Verdana" w:cs="Verdana"/>
                <w:sz w:val="18"/>
                <w:szCs w:val="18"/>
              </w:rPr>
            </w:pPr>
          </w:p>
        </w:tc>
        <w:tc>
          <w:tcPr>
            <w:tcW w:w="863" w:type="dxa"/>
            <w:vMerge/>
            <w:tcBorders>
              <w:top w:val="nil"/>
              <w:left w:val="single" w:sz="6" w:space="0" w:color="FFFFFF"/>
              <w:bottom w:val="single" w:sz="6" w:space="0" w:color="FFFFFF"/>
              <w:right w:val="single" w:sz="6" w:space="0" w:color="FFFFFF"/>
            </w:tcBorders>
            <w:vAlign w:val="center"/>
            <w:hideMark/>
          </w:tcPr>
          <w:p w14:paraId="102D9E5C" w14:textId="77777777" w:rsidR="00651AE4" w:rsidRPr="00DE79CB" w:rsidRDefault="00651AE4" w:rsidP="004E7734">
            <w:pPr>
              <w:spacing w:after="0" w:line="240" w:lineRule="auto"/>
              <w:rPr>
                <w:rFonts w:ascii="Verdana" w:eastAsia="Verdana" w:hAnsi="Verdana" w:cs="Verdana"/>
                <w:sz w:val="18"/>
                <w:szCs w:val="18"/>
              </w:rPr>
            </w:pPr>
          </w:p>
        </w:tc>
        <w:tc>
          <w:tcPr>
            <w:tcW w:w="1732" w:type="dxa"/>
            <w:tcBorders>
              <w:top w:val="nil"/>
              <w:left w:val="nil"/>
              <w:bottom w:val="single" w:sz="6" w:space="0" w:color="FFFFFF"/>
              <w:right w:val="single" w:sz="6" w:space="0" w:color="FFFFFF" w:themeColor="background1"/>
            </w:tcBorders>
            <w:shd w:val="clear" w:color="auto" w:fill="E8E8E8"/>
            <w:vAlign w:val="center"/>
            <w:hideMark/>
          </w:tcPr>
          <w:p w14:paraId="4120DBEE" w14:textId="77777777" w:rsidR="00651AE4" w:rsidRPr="00DE79CB" w:rsidRDefault="00651AE4"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Cashew </w:t>
            </w:r>
          </w:p>
        </w:tc>
        <w:tc>
          <w:tcPr>
            <w:tcW w:w="5213" w:type="dxa"/>
            <w:vMerge/>
            <w:tcBorders>
              <w:left w:val="single" w:sz="6" w:space="0" w:color="FFFFFF" w:themeColor="background1"/>
              <w:bottom w:val="single" w:sz="6" w:space="0" w:color="FFFFFF"/>
              <w:right w:val="single" w:sz="6" w:space="0" w:color="FFFFFF" w:themeColor="background1"/>
            </w:tcBorders>
            <w:shd w:val="clear" w:color="auto" w:fill="E8E8E8"/>
            <w:vAlign w:val="bottom"/>
            <w:hideMark/>
          </w:tcPr>
          <w:p w14:paraId="24A20F41" w14:textId="5F3CE69E" w:rsidR="00651AE4" w:rsidRPr="00DE79CB" w:rsidRDefault="00651AE4" w:rsidP="004E7734">
            <w:pPr>
              <w:spacing w:after="0" w:line="240" w:lineRule="auto"/>
              <w:rPr>
                <w:rFonts w:ascii="Verdana" w:eastAsia="Verdana" w:hAnsi="Verdana" w:cs="Verdana"/>
                <w:sz w:val="18"/>
                <w:szCs w:val="18"/>
              </w:rPr>
            </w:pPr>
          </w:p>
        </w:tc>
      </w:tr>
      <w:tr w:rsidR="000F170C" w:rsidRPr="00DE79CB" w14:paraId="15F003D7" w14:textId="77777777" w:rsidTr="004E7734">
        <w:trPr>
          <w:trHeight w:val="225"/>
        </w:trPr>
        <w:tc>
          <w:tcPr>
            <w:tcW w:w="1264" w:type="dxa"/>
            <w:tcBorders>
              <w:top w:val="nil"/>
              <w:left w:val="single" w:sz="6" w:space="0" w:color="FFFFFF"/>
              <w:bottom w:val="single" w:sz="6" w:space="0" w:color="FFFFFF"/>
              <w:right w:val="single" w:sz="6" w:space="0" w:color="FFFFFF"/>
            </w:tcBorders>
            <w:shd w:val="clear" w:color="auto" w:fill="D9D9D9"/>
            <w:vAlign w:val="center"/>
            <w:hideMark/>
          </w:tcPr>
          <w:p w14:paraId="688FB706"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Jordan </w:t>
            </w:r>
          </w:p>
        </w:tc>
        <w:tc>
          <w:tcPr>
            <w:tcW w:w="863" w:type="dxa"/>
            <w:tcBorders>
              <w:top w:val="nil"/>
              <w:left w:val="nil"/>
              <w:bottom w:val="single" w:sz="6" w:space="0" w:color="FFFFFF"/>
              <w:right w:val="single" w:sz="6" w:space="0" w:color="FFFFFF"/>
            </w:tcBorders>
            <w:shd w:val="clear" w:color="auto" w:fill="D9D9D9"/>
            <w:vAlign w:val="center"/>
            <w:hideMark/>
          </w:tcPr>
          <w:p w14:paraId="6C6D4A14" w14:textId="02AB5145"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Agri</w:t>
            </w:r>
            <w:r w:rsidR="00651AE4" w:rsidRPr="00DE79CB">
              <w:rPr>
                <w:rFonts w:ascii="Verdana" w:eastAsia="Verdana" w:hAnsi="Verdana" w:cs="Verdana"/>
                <w:sz w:val="18"/>
                <w:szCs w:val="18"/>
              </w:rPr>
              <w:t>culture</w:t>
            </w:r>
            <w:proofErr w:type="spellEnd"/>
            <w:r w:rsidRPr="00DE79CB">
              <w:rPr>
                <w:rFonts w:ascii="Verdana" w:eastAsia="Verdana" w:hAnsi="Verdana" w:cs="Verdana"/>
                <w:sz w:val="18"/>
                <w:szCs w:val="18"/>
              </w:rPr>
              <w:t> </w:t>
            </w:r>
          </w:p>
        </w:tc>
        <w:tc>
          <w:tcPr>
            <w:tcW w:w="1732" w:type="dxa"/>
            <w:tcBorders>
              <w:top w:val="nil"/>
              <w:left w:val="nil"/>
              <w:bottom w:val="single" w:sz="6" w:space="0" w:color="FFFFFF"/>
              <w:right w:val="single" w:sz="6" w:space="0" w:color="FFFFFF"/>
            </w:tcBorders>
            <w:shd w:val="clear" w:color="auto" w:fill="D9D9D9"/>
            <w:vAlign w:val="center"/>
            <w:hideMark/>
          </w:tcPr>
          <w:p w14:paraId="37BFC67F" w14:textId="77777777"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Processed</w:t>
            </w:r>
            <w:proofErr w:type="spellEnd"/>
            <w:r w:rsidRPr="00DE79CB">
              <w:rPr>
                <w:rFonts w:ascii="Verdana" w:eastAsia="Verdana" w:hAnsi="Verdana" w:cs="Verdana"/>
                <w:sz w:val="18"/>
                <w:szCs w:val="18"/>
              </w:rPr>
              <w:t> </w:t>
            </w:r>
          </w:p>
          <w:p w14:paraId="532EB8E6" w14:textId="77777777"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vegetables</w:t>
            </w:r>
            <w:proofErr w:type="spellEnd"/>
            <w:r w:rsidRPr="00DE79CB">
              <w:rPr>
                <w:rFonts w:ascii="Verdana" w:eastAsia="Verdana" w:hAnsi="Verdana" w:cs="Verdana"/>
                <w:sz w:val="18"/>
                <w:szCs w:val="18"/>
              </w:rPr>
              <w:t>/ </w:t>
            </w:r>
            <w:proofErr w:type="spellStart"/>
            <w:r w:rsidRPr="00DE79CB">
              <w:rPr>
                <w:rFonts w:ascii="Verdana" w:eastAsia="Verdana" w:hAnsi="Verdana" w:cs="Verdana"/>
                <w:sz w:val="18"/>
                <w:szCs w:val="18"/>
              </w:rPr>
              <w:t>foods</w:t>
            </w:r>
            <w:proofErr w:type="spellEnd"/>
            <w:r w:rsidRPr="00DE79CB">
              <w:rPr>
                <w:rFonts w:ascii="Verdana" w:eastAsia="Verdana" w:hAnsi="Verdana" w:cs="Verdana"/>
                <w:sz w:val="18"/>
                <w:szCs w:val="18"/>
              </w:rPr>
              <w:t> </w:t>
            </w:r>
          </w:p>
        </w:tc>
        <w:tc>
          <w:tcPr>
            <w:tcW w:w="5213" w:type="dxa"/>
            <w:tcBorders>
              <w:top w:val="nil"/>
              <w:left w:val="nil"/>
              <w:bottom w:val="single" w:sz="6" w:space="0" w:color="FFFFFF"/>
              <w:right w:val="single" w:sz="6" w:space="0" w:color="FFFFFF"/>
            </w:tcBorders>
            <w:shd w:val="clear" w:color="auto" w:fill="D9D9D9"/>
            <w:vAlign w:val="bottom"/>
            <w:hideMark/>
          </w:tcPr>
          <w:p w14:paraId="42782353" w14:textId="77777777" w:rsidR="000F170C" w:rsidRPr="00DE79CB" w:rsidRDefault="000F170C"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Water and energy scarcity, food security, SMEs, post-harvest value addition </w:t>
            </w:r>
          </w:p>
        </w:tc>
      </w:tr>
      <w:tr w:rsidR="000F170C" w:rsidRPr="00DE79CB" w14:paraId="571956AC" w14:textId="77777777" w:rsidTr="004E7734">
        <w:trPr>
          <w:trHeight w:val="270"/>
        </w:trPr>
        <w:tc>
          <w:tcPr>
            <w:tcW w:w="1264" w:type="dxa"/>
            <w:vMerge w:val="restart"/>
            <w:tcBorders>
              <w:top w:val="nil"/>
              <w:left w:val="single" w:sz="6" w:space="0" w:color="FFFFFF"/>
              <w:bottom w:val="nil"/>
              <w:right w:val="single" w:sz="6" w:space="0" w:color="FFFFFF"/>
            </w:tcBorders>
            <w:shd w:val="clear" w:color="auto" w:fill="E8E8E8"/>
            <w:vAlign w:val="center"/>
            <w:hideMark/>
          </w:tcPr>
          <w:p w14:paraId="33D01D08"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lastRenderedPageBreak/>
              <w:t>Kenya </w:t>
            </w:r>
          </w:p>
        </w:tc>
        <w:tc>
          <w:tcPr>
            <w:tcW w:w="863" w:type="dxa"/>
            <w:vMerge w:val="restart"/>
            <w:tcBorders>
              <w:top w:val="nil"/>
              <w:left w:val="single" w:sz="6" w:space="0" w:color="FFFFFF"/>
              <w:bottom w:val="single" w:sz="6" w:space="0" w:color="FFFFFF"/>
              <w:right w:val="single" w:sz="6" w:space="0" w:color="FFFFFF"/>
            </w:tcBorders>
            <w:shd w:val="clear" w:color="auto" w:fill="E8E8E8"/>
            <w:vAlign w:val="center"/>
            <w:hideMark/>
          </w:tcPr>
          <w:p w14:paraId="51F69226" w14:textId="539574B1"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Agri</w:t>
            </w:r>
            <w:r w:rsidR="00651AE4" w:rsidRPr="00DE79CB">
              <w:rPr>
                <w:rFonts w:ascii="Verdana" w:eastAsia="Verdana" w:hAnsi="Verdana" w:cs="Verdana"/>
                <w:sz w:val="18"/>
                <w:szCs w:val="18"/>
              </w:rPr>
              <w:t>culture</w:t>
            </w:r>
            <w:proofErr w:type="spellEnd"/>
            <w:r w:rsidRPr="00DE79CB">
              <w:rPr>
                <w:rFonts w:ascii="Verdana" w:eastAsia="Verdana" w:hAnsi="Verdana" w:cs="Verdana"/>
                <w:sz w:val="18"/>
                <w:szCs w:val="18"/>
              </w:rPr>
              <w:t> </w:t>
            </w:r>
          </w:p>
        </w:tc>
        <w:tc>
          <w:tcPr>
            <w:tcW w:w="1732" w:type="dxa"/>
            <w:tcBorders>
              <w:top w:val="nil"/>
              <w:left w:val="nil"/>
              <w:bottom w:val="single" w:sz="6" w:space="0" w:color="FFFFFF"/>
              <w:right w:val="single" w:sz="6" w:space="0" w:color="FFFFFF"/>
            </w:tcBorders>
            <w:shd w:val="clear" w:color="auto" w:fill="E8E8E8"/>
            <w:vAlign w:val="center"/>
            <w:hideMark/>
          </w:tcPr>
          <w:p w14:paraId="7B519843"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Fruits &amp; </w:t>
            </w:r>
            <w:proofErr w:type="spellStart"/>
            <w:r w:rsidRPr="00DE79CB">
              <w:rPr>
                <w:rFonts w:ascii="Verdana" w:eastAsia="Verdana" w:hAnsi="Verdana" w:cs="Verdana"/>
                <w:sz w:val="18"/>
                <w:szCs w:val="18"/>
              </w:rPr>
              <w:t>Vegetables</w:t>
            </w:r>
            <w:proofErr w:type="spellEnd"/>
            <w:r w:rsidRPr="00DE79CB">
              <w:rPr>
                <w:rFonts w:ascii="Verdana" w:eastAsia="Verdana" w:hAnsi="Verdana" w:cs="Verdana"/>
                <w:sz w:val="18"/>
                <w:szCs w:val="18"/>
              </w:rPr>
              <w:t> </w:t>
            </w:r>
          </w:p>
        </w:tc>
        <w:tc>
          <w:tcPr>
            <w:tcW w:w="5213" w:type="dxa"/>
            <w:vMerge w:val="restart"/>
            <w:tcBorders>
              <w:top w:val="nil"/>
              <w:left w:val="single" w:sz="6" w:space="0" w:color="FFFFFF"/>
              <w:bottom w:val="single" w:sz="6" w:space="0" w:color="FFFFFF"/>
              <w:right w:val="single" w:sz="6" w:space="0" w:color="FFFFFF"/>
            </w:tcBorders>
            <w:shd w:val="clear" w:color="auto" w:fill="E8E8E8"/>
            <w:hideMark/>
          </w:tcPr>
          <w:p w14:paraId="044B4817" w14:textId="77777777" w:rsidR="000F170C" w:rsidRPr="00DE79CB" w:rsidRDefault="000F170C"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Climate </w:t>
            </w:r>
            <w:proofErr w:type="spellStart"/>
            <w:r w:rsidRPr="00DE79CB">
              <w:rPr>
                <w:rFonts w:ascii="Verdana" w:eastAsia="Verdana" w:hAnsi="Verdana" w:cs="Verdana"/>
                <w:sz w:val="18"/>
                <w:szCs w:val="18"/>
                <w:lang w:val="en-US"/>
              </w:rPr>
              <w:t>resillience</w:t>
            </w:r>
            <w:proofErr w:type="spellEnd"/>
            <w:r w:rsidRPr="00DE79CB">
              <w:rPr>
                <w:rFonts w:ascii="Verdana" w:eastAsia="Verdana" w:hAnsi="Verdana" w:cs="Verdana"/>
                <w:sz w:val="18"/>
                <w:szCs w:val="18"/>
                <w:lang w:val="en-US"/>
              </w:rPr>
              <w:t>, food security, water scarcity, WASH, regenerative agriculture, resilience of small-scale farmers, prevention of post-harvest losses through (cooled) </w:t>
            </w:r>
            <w:proofErr w:type="spellStart"/>
            <w:r w:rsidRPr="00DE79CB">
              <w:rPr>
                <w:rFonts w:ascii="Verdana" w:eastAsia="Verdana" w:hAnsi="Verdana" w:cs="Verdana"/>
                <w:sz w:val="18"/>
                <w:szCs w:val="18"/>
                <w:lang w:val="en-US"/>
              </w:rPr>
              <w:t>agro</w:t>
            </w:r>
            <w:proofErr w:type="spellEnd"/>
            <w:r w:rsidRPr="00DE79CB">
              <w:rPr>
                <w:rFonts w:ascii="Verdana" w:eastAsia="Verdana" w:hAnsi="Verdana" w:cs="Verdana"/>
                <w:sz w:val="18"/>
                <w:szCs w:val="18"/>
                <w:lang w:val="en-US"/>
              </w:rPr>
              <w:t>-logistics </w:t>
            </w:r>
          </w:p>
        </w:tc>
      </w:tr>
      <w:tr w:rsidR="000F170C" w:rsidRPr="00DE79CB" w14:paraId="734F9E65" w14:textId="77777777" w:rsidTr="003C297D">
        <w:trPr>
          <w:trHeight w:val="435"/>
        </w:trPr>
        <w:tc>
          <w:tcPr>
            <w:tcW w:w="1264" w:type="dxa"/>
            <w:vMerge/>
            <w:tcBorders>
              <w:top w:val="nil"/>
              <w:left w:val="single" w:sz="6" w:space="0" w:color="FFFFFF"/>
              <w:bottom w:val="single" w:sz="6" w:space="0" w:color="FFFFFF" w:themeColor="background1"/>
              <w:right w:val="single" w:sz="6" w:space="0" w:color="FFFFFF"/>
            </w:tcBorders>
            <w:vAlign w:val="center"/>
            <w:hideMark/>
          </w:tcPr>
          <w:p w14:paraId="021EE6CB" w14:textId="77777777" w:rsidR="000F170C" w:rsidRPr="00DE79CB" w:rsidRDefault="000F170C" w:rsidP="004E7734">
            <w:pPr>
              <w:spacing w:after="0" w:line="240" w:lineRule="auto"/>
              <w:rPr>
                <w:rFonts w:ascii="Verdana" w:eastAsia="Verdana" w:hAnsi="Verdana" w:cs="Verdana"/>
                <w:sz w:val="18"/>
                <w:szCs w:val="18"/>
                <w:lang w:val="en-US"/>
              </w:rPr>
            </w:pPr>
          </w:p>
        </w:tc>
        <w:tc>
          <w:tcPr>
            <w:tcW w:w="863" w:type="dxa"/>
            <w:vMerge/>
            <w:tcBorders>
              <w:top w:val="nil"/>
              <w:left w:val="single" w:sz="6" w:space="0" w:color="FFFFFF"/>
              <w:bottom w:val="single" w:sz="6" w:space="0" w:color="FFFFFF" w:themeColor="background1"/>
              <w:right w:val="single" w:sz="6" w:space="0" w:color="FFFFFF"/>
            </w:tcBorders>
            <w:vAlign w:val="center"/>
            <w:hideMark/>
          </w:tcPr>
          <w:p w14:paraId="7688B935" w14:textId="77777777" w:rsidR="000F170C" w:rsidRPr="00DE79CB" w:rsidRDefault="000F170C" w:rsidP="004E7734">
            <w:pPr>
              <w:spacing w:after="0" w:line="240" w:lineRule="auto"/>
              <w:rPr>
                <w:rFonts w:ascii="Verdana" w:eastAsia="Verdana" w:hAnsi="Verdana" w:cs="Verdana"/>
                <w:sz w:val="18"/>
                <w:szCs w:val="18"/>
                <w:lang w:val="en-US"/>
              </w:rPr>
            </w:pPr>
          </w:p>
        </w:tc>
        <w:tc>
          <w:tcPr>
            <w:tcW w:w="1732" w:type="dxa"/>
            <w:tcBorders>
              <w:top w:val="nil"/>
              <w:left w:val="nil"/>
              <w:bottom w:val="single" w:sz="6" w:space="0" w:color="FFFFFF" w:themeColor="background1"/>
              <w:right w:val="single" w:sz="6" w:space="0" w:color="FFFFFF"/>
            </w:tcBorders>
            <w:shd w:val="clear" w:color="auto" w:fill="E8E8E8"/>
            <w:vAlign w:val="center"/>
            <w:hideMark/>
          </w:tcPr>
          <w:p w14:paraId="763620B0" w14:textId="77777777"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Flowers</w:t>
            </w:r>
            <w:proofErr w:type="spellEnd"/>
            <w:r w:rsidRPr="00DE79CB">
              <w:rPr>
                <w:rFonts w:ascii="Verdana" w:eastAsia="Verdana" w:hAnsi="Verdana" w:cs="Verdana"/>
                <w:sz w:val="18"/>
                <w:szCs w:val="18"/>
              </w:rPr>
              <w:t> &amp; </w:t>
            </w:r>
            <w:proofErr w:type="spellStart"/>
            <w:r w:rsidRPr="00DE79CB">
              <w:rPr>
                <w:rFonts w:ascii="Verdana" w:eastAsia="Verdana" w:hAnsi="Verdana" w:cs="Verdana"/>
                <w:sz w:val="18"/>
                <w:szCs w:val="18"/>
              </w:rPr>
              <w:t>plants</w:t>
            </w:r>
            <w:proofErr w:type="spellEnd"/>
            <w:r w:rsidRPr="00DE79CB">
              <w:rPr>
                <w:rFonts w:ascii="Verdana" w:eastAsia="Verdana" w:hAnsi="Verdana" w:cs="Verdana"/>
                <w:sz w:val="18"/>
                <w:szCs w:val="18"/>
              </w:rPr>
              <w:t> </w:t>
            </w:r>
          </w:p>
        </w:tc>
        <w:tc>
          <w:tcPr>
            <w:tcW w:w="5213" w:type="dxa"/>
            <w:vMerge/>
            <w:tcBorders>
              <w:top w:val="nil"/>
              <w:left w:val="single" w:sz="6" w:space="0" w:color="FFFFFF"/>
              <w:bottom w:val="single" w:sz="6" w:space="0" w:color="FFFFFF" w:themeColor="background1"/>
              <w:right w:val="single" w:sz="6" w:space="0" w:color="FFFFFF"/>
            </w:tcBorders>
            <w:vAlign w:val="center"/>
            <w:hideMark/>
          </w:tcPr>
          <w:p w14:paraId="1590E937" w14:textId="77777777" w:rsidR="000F170C" w:rsidRPr="00DE79CB" w:rsidRDefault="000F170C" w:rsidP="004E7734">
            <w:pPr>
              <w:spacing w:after="0" w:line="240" w:lineRule="auto"/>
              <w:rPr>
                <w:rFonts w:ascii="Verdana" w:eastAsia="Verdana" w:hAnsi="Verdana" w:cs="Verdana"/>
                <w:sz w:val="18"/>
                <w:szCs w:val="18"/>
              </w:rPr>
            </w:pPr>
          </w:p>
        </w:tc>
      </w:tr>
      <w:tr w:rsidR="000F170C" w:rsidRPr="00DE79CB" w14:paraId="76385A0A" w14:textId="77777777" w:rsidTr="003C297D">
        <w:trPr>
          <w:trHeight w:val="180"/>
        </w:trPr>
        <w:tc>
          <w:tcPr>
            <w:tcW w:w="1264" w:type="dxa"/>
            <w:vMerge w:val="restar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vAlign w:val="center"/>
            <w:hideMark/>
          </w:tcPr>
          <w:p w14:paraId="507C8A77"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Lebanon </w:t>
            </w:r>
          </w:p>
        </w:tc>
        <w:tc>
          <w:tcPr>
            <w:tcW w:w="863" w:type="dxa"/>
            <w:vMerge w:val="restar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vAlign w:val="center"/>
            <w:hideMark/>
          </w:tcPr>
          <w:p w14:paraId="54D8E825" w14:textId="3D883810"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Agri</w:t>
            </w:r>
            <w:r w:rsidR="00651AE4" w:rsidRPr="00DE79CB">
              <w:rPr>
                <w:rFonts w:ascii="Verdana" w:eastAsia="Verdana" w:hAnsi="Verdana" w:cs="Verdana"/>
                <w:sz w:val="18"/>
                <w:szCs w:val="18"/>
              </w:rPr>
              <w:t>culture</w:t>
            </w:r>
            <w:proofErr w:type="spellEnd"/>
            <w:r w:rsidRPr="00DE79CB">
              <w:rPr>
                <w:rFonts w:ascii="Verdana" w:eastAsia="Verdana" w:hAnsi="Verdana" w:cs="Verdana"/>
                <w:sz w:val="18"/>
                <w:szCs w:val="18"/>
              </w:rPr>
              <w:t> </w:t>
            </w:r>
          </w:p>
        </w:tc>
        <w:tc>
          <w:tcPr>
            <w:tcW w:w="173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vAlign w:val="center"/>
            <w:hideMark/>
          </w:tcPr>
          <w:p w14:paraId="204EC961"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Avocado </w:t>
            </w:r>
          </w:p>
        </w:tc>
        <w:tc>
          <w:tcPr>
            <w:tcW w:w="5213" w:type="dxa"/>
            <w:vMerge w:val="restar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vAlign w:val="center"/>
            <w:hideMark/>
          </w:tcPr>
          <w:p w14:paraId="09906456" w14:textId="77777777" w:rsidR="000F170C" w:rsidRPr="00DE79CB" w:rsidRDefault="000F170C"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  </w:t>
            </w:r>
          </w:p>
          <w:p w14:paraId="0365DF68" w14:textId="77777777" w:rsidR="000F170C" w:rsidRPr="00DE79CB" w:rsidRDefault="000F170C"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Innovation, reduction of pesticide use, sustainable energy, water management, decent work, women empowerment </w:t>
            </w:r>
          </w:p>
        </w:tc>
      </w:tr>
      <w:tr w:rsidR="000F170C" w:rsidRPr="00DE79CB" w14:paraId="3CB62756" w14:textId="77777777" w:rsidTr="003C297D">
        <w:trPr>
          <w:trHeight w:val="75"/>
        </w:trPr>
        <w:tc>
          <w:tcPr>
            <w:tcW w:w="1264" w:type="dxa"/>
            <w:vMerge/>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14:paraId="6AE339DA" w14:textId="77777777" w:rsidR="000F170C" w:rsidRPr="00DE79CB" w:rsidRDefault="000F170C" w:rsidP="004E7734">
            <w:pPr>
              <w:spacing w:after="0" w:line="240" w:lineRule="auto"/>
              <w:rPr>
                <w:rFonts w:ascii="Verdana" w:eastAsia="Verdana" w:hAnsi="Verdana" w:cs="Verdana"/>
                <w:sz w:val="18"/>
                <w:szCs w:val="18"/>
                <w:lang w:val="en-US"/>
              </w:rPr>
            </w:pPr>
          </w:p>
        </w:tc>
        <w:tc>
          <w:tcPr>
            <w:tcW w:w="863" w:type="dxa"/>
            <w:vMerge/>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14:paraId="2A2F42BA" w14:textId="77777777" w:rsidR="000F170C" w:rsidRPr="00DE79CB" w:rsidRDefault="000F170C" w:rsidP="004E7734">
            <w:pPr>
              <w:spacing w:after="0" w:line="240" w:lineRule="auto"/>
              <w:rPr>
                <w:rFonts w:ascii="Verdana" w:eastAsia="Verdana" w:hAnsi="Verdana" w:cs="Verdana"/>
                <w:sz w:val="18"/>
                <w:szCs w:val="18"/>
                <w:lang w:val="en-US"/>
              </w:rPr>
            </w:pPr>
          </w:p>
        </w:tc>
        <w:tc>
          <w:tcPr>
            <w:tcW w:w="173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vAlign w:val="center"/>
            <w:hideMark/>
          </w:tcPr>
          <w:p w14:paraId="721FAE03" w14:textId="77777777"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Table</w:t>
            </w:r>
            <w:proofErr w:type="spellEnd"/>
            <w:r w:rsidRPr="00DE79CB">
              <w:rPr>
                <w:rFonts w:ascii="Verdana" w:eastAsia="Verdana" w:hAnsi="Verdana" w:cs="Verdana"/>
                <w:sz w:val="18"/>
                <w:szCs w:val="18"/>
              </w:rPr>
              <w:t> </w:t>
            </w:r>
            <w:proofErr w:type="spellStart"/>
            <w:r w:rsidRPr="00DE79CB">
              <w:rPr>
                <w:rFonts w:ascii="Verdana" w:eastAsia="Verdana" w:hAnsi="Verdana" w:cs="Verdana"/>
                <w:sz w:val="18"/>
                <w:szCs w:val="18"/>
              </w:rPr>
              <w:t>grapes</w:t>
            </w:r>
            <w:proofErr w:type="spellEnd"/>
            <w:r w:rsidRPr="00DE79CB">
              <w:rPr>
                <w:rFonts w:ascii="Verdana" w:eastAsia="Verdana" w:hAnsi="Verdana" w:cs="Verdana"/>
                <w:sz w:val="18"/>
                <w:szCs w:val="18"/>
              </w:rPr>
              <w:t> </w:t>
            </w:r>
          </w:p>
        </w:tc>
        <w:tc>
          <w:tcPr>
            <w:tcW w:w="5213" w:type="dxa"/>
            <w:vMerge/>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14:paraId="44639E21" w14:textId="77777777" w:rsidR="000F170C" w:rsidRPr="00DE79CB" w:rsidRDefault="000F170C" w:rsidP="004E7734">
            <w:pPr>
              <w:spacing w:after="0" w:line="240" w:lineRule="auto"/>
              <w:rPr>
                <w:rFonts w:ascii="Verdana" w:eastAsia="Verdana" w:hAnsi="Verdana" w:cs="Verdana"/>
                <w:sz w:val="18"/>
                <w:szCs w:val="18"/>
              </w:rPr>
            </w:pPr>
          </w:p>
        </w:tc>
      </w:tr>
      <w:tr w:rsidR="000F170C" w:rsidRPr="00DE79CB" w14:paraId="78CB2F5E" w14:textId="77777777" w:rsidTr="003C297D">
        <w:trPr>
          <w:trHeight w:val="450"/>
        </w:trPr>
        <w:tc>
          <w:tcPr>
            <w:tcW w:w="1264" w:type="dxa"/>
            <w:vMerge/>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14:paraId="330FF5CB" w14:textId="77777777" w:rsidR="000F170C" w:rsidRPr="00DE79CB" w:rsidRDefault="000F170C" w:rsidP="004E7734">
            <w:pPr>
              <w:spacing w:after="0" w:line="240" w:lineRule="auto"/>
              <w:rPr>
                <w:rFonts w:ascii="Verdana" w:eastAsia="Verdana" w:hAnsi="Verdana" w:cs="Verdana"/>
                <w:sz w:val="18"/>
                <w:szCs w:val="18"/>
              </w:rPr>
            </w:pPr>
          </w:p>
        </w:tc>
        <w:tc>
          <w:tcPr>
            <w:tcW w:w="863" w:type="dxa"/>
            <w:vMerge/>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14:paraId="065547A3" w14:textId="77777777" w:rsidR="000F170C" w:rsidRPr="00DE79CB" w:rsidRDefault="000F170C" w:rsidP="004E7734">
            <w:pPr>
              <w:spacing w:after="0" w:line="240" w:lineRule="auto"/>
              <w:rPr>
                <w:rFonts w:ascii="Verdana" w:eastAsia="Verdana" w:hAnsi="Verdana" w:cs="Verdana"/>
                <w:sz w:val="18"/>
                <w:szCs w:val="18"/>
              </w:rPr>
            </w:pPr>
          </w:p>
        </w:tc>
        <w:tc>
          <w:tcPr>
            <w:tcW w:w="173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vAlign w:val="center"/>
            <w:hideMark/>
          </w:tcPr>
          <w:p w14:paraId="10A9F85B" w14:textId="77777777"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Processed</w:t>
            </w:r>
            <w:proofErr w:type="spellEnd"/>
            <w:r w:rsidRPr="00DE79CB">
              <w:rPr>
                <w:rFonts w:ascii="Verdana" w:eastAsia="Verdana" w:hAnsi="Verdana" w:cs="Verdana"/>
                <w:sz w:val="18"/>
                <w:szCs w:val="18"/>
              </w:rPr>
              <w:t> </w:t>
            </w:r>
            <w:proofErr w:type="spellStart"/>
            <w:r w:rsidRPr="00DE79CB">
              <w:rPr>
                <w:rFonts w:ascii="Verdana" w:eastAsia="Verdana" w:hAnsi="Verdana" w:cs="Verdana"/>
                <w:sz w:val="18"/>
                <w:szCs w:val="18"/>
              </w:rPr>
              <w:t>foods</w:t>
            </w:r>
            <w:proofErr w:type="spellEnd"/>
            <w:r w:rsidRPr="00DE79CB">
              <w:rPr>
                <w:rFonts w:ascii="Verdana" w:eastAsia="Verdana" w:hAnsi="Verdana" w:cs="Verdana"/>
                <w:sz w:val="18"/>
                <w:szCs w:val="18"/>
              </w:rPr>
              <w:t> </w:t>
            </w:r>
          </w:p>
        </w:tc>
        <w:tc>
          <w:tcPr>
            <w:tcW w:w="5213" w:type="dxa"/>
            <w:vMerge/>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14:paraId="63A9811D" w14:textId="77777777" w:rsidR="000F170C" w:rsidRPr="00DE79CB" w:rsidRDefault="000F170C" w:rsidP="004E7734">
            <w:pPr>
              <w:spacing w:after="0" w:line="240" w:lineRule="auto"/>
              <w:rPr>
                <w:rFonts w:ascii="Verdana" w:eastAsia="Verdana" w:hAnsi="Verdana" w:cs="Verdana"/>
                <w:sz w:val="18"/>
                <w:szCs w:val="18"/>
              </w:rPr>
            </w:pPr>
          </w:p>
        </w:tc>
      </w:tr>
      <w:tr w:rsidR="000F170C" w:rsidRPr="00DE79CB" w14:paraId="69C19A22" w14:textId="77777777" w:rsidTr="003C297D">
        <w:trPr>
          <w:trHeight w:val="225"/>
        </w:trPr>
        <w:tc>
          <w:tcPr>
            <w:tcW w:w="1264" w:type="dxa"/>
            <w:vMerge w:val="restar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8E8E8"/>
            <w:vAlign w:val="center"/>
            <w:hideMark/>
          </w:tcPr>
          <w:p w14:paraId="25E51054"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Morocco </w:t>
            </w:r>
          </w:p>
        </w:tc>
        <w:tc>
          <w:tcPr>
            <w:tcW w:w="863" w:type="dxa"/>
            <w:vMerge w:val="restar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8E8E8"/>
            <w:vAlign w:val="center"/>
            <w:hideMark/>
          </w:tcPr>
          <w:p w14:paraId="5FB01EA3" w14:textId="4870F3D0"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Agri</w:t>
            </w:r>
            <w:r w:rsidR="00651AE4" w:rsidRPr="00DE79CB">
              <w:rPr>
                <w:rFonts w:ascii="Verdana" w:eastAsia="Verdana" w:hAnsi="Verdana" w:cs="Verdana"/>
                <w:sz w:val="18"/>
                <w:szCs w:val="18"/>
              </w:rPr>
              <w:t>culture</w:t>
            </w:r>
            <w:proofErr w:type="spellEnd"/>
            <w:r w:rsidRPr="00DE79CB">
              <w:rPr>
                <w:rFonts w:ascii="Verdana" w:eastAsia="Verdana" w:hAnsi="Verdana" w:cs="Verdana"/>
                <w:sz w:val="18"/>
                <w:szCs w:val="18"/>
              </w:rPr>
              <w:t> </w:t>
            </w:r>
          </w:p>
        </w:tc>
        <w:tc>
          <w:tcPr>
            <w:tcW w:w="173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8E8E8"/>
            <w:vAlign w:val="center"/>
            <w:hideMark/>
          </w:tcPr>
          <w:p w14:paraId="02942EEE" w14:textId="2FD41A31"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Horti</w:t>
            </w:r>
            <w:r w:rsidR="00651AE4" w:rsidRPr="00DE79CB">
              <w:rPr>
                <w:rFonts w:ascii="Verdana" w:eastAsia="Verdana" w:hAnsi="Verdana" w:cs="Verdana"/>
                <w:sz w:val="18"/>
                <w:szCs w:val="18"/>
              </w:rPr>
              <w:t>culture</w:t>
            </w:r>
            <w:proofErr w:type="spellEnd"/>
            <w:r w:rsidRPr="00DE79CB">
              <w:rPr>
                <w:rFonts w:ascii="Verdana" w:eastAsia="Verdana" w:hAnsi="Verdana" w:cs="Verdana"/>
                <w:sz w:val="18"/>
                <w:szCs w:val="18"/>
              </w:rPr>
              <w:t> </w:t>
            </w:r>
          </w:p>
        </w:tc>
        <w:tc>
          <w:tcPr>
            <w:tcW w:w="5213" w:type="dxa"/>
            <w:vMerge w:val="restar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8E8E8"/>
            <w:hideMark/>
          </w:tcPr>
          <w:p w14:paraId="559183E8" w14:textId="77777777" w:rsidR="00A652E0" w:rsidRPr="00DE79CB" w:rsidRDefault="000F170C" w:rsidP="00A652E0">
            <w:pPr>
              <w:spacing w:after="0"/>
              <w:rPr>
                <w:rFonts w:ascii="Verdana" w:eastAsia="Verdana" w:hAnsi="Verdana" w:cs="Verdana"/>
                <w:sz w:val="18"/>
                <w:szCs w:val="18"/>
                <w:lang w:val="en-US"/>
              </w:rPr>
            </w:pPr>
            <w:r w:rsidRPr="00DE79CB">
              <w:rPr>
                <w:rFonts w:ascii="Verdana" w:eastAsia="Verdana" w:hAnsi="Verdana" w:cs="Verdana"/>
                <w:sz w:val="18"/>
                <w:szCs w:val="18"/>
                <w:lang w:val="en-US"/>
              </w:rPr>
              <w:t>Climate adaptation, sustainable </w:t>
            </w:r>
            <w:proofErr w:type="spellStart"/>
            <w:r w:rsidRPr="00DE79CB">
              <w:rPr>
                <w:rFonts w:ascii="Verdana" w:eastAsia="Verdana" w:hAnsi="Verdana" w:cs="Verdana"/>
                <w:sz w:val="18"/>
                <w:szCs w:val="18"/>
                <w:lang w:val="en-US"/>
              </w:rPr>
              <w:t>foodproduction</w:t>
            </w:r>
            <w:proofErr w:type="spellEnd"/>
            <w:r w:rsidRPr="00DE79CB">
              <w:rPr>
                <w:rFonts w:ascii="Verdana" w:eastAsia="Verdana" w:hAnsi="Verdana" w:cs="Verdana"/>
                <w:sz w:val="18"/>
                <w:szCs w:val="18"/>
                <w:lang w:val="en-US"/>
              </w:rPr>
              <w:t xml:space="preserve">, water scarcity, </w:t>
            </w:r>
            <w:r w:rsidR="00A652E0" w:rsidRPr="00DE79CB">
              <w:rPr>
                <w:rFonts w:ascii="Verdana" w:eastAsia="Verdana" w:hAnsi="Verdana" w:cs="Verdana"/>
                <w:sz w:val="18"/>
                <w:szCs w:val="18"/>
                <w:lang w:val="en-US"/>
              </w:rPr>
              <w:t>vocational education and training</w:t>
            </w:r>
          </w:p>
          <w:p w14:paraId="09D92087" w14:textId="5D7B555A" w:rsidR="000F170C" w:rsidRPr="00DE79CB" w:rsidRDefault="000F170C"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 </w:t>
            </w:r>
          </w:p>
        </w:tc>
      </w:tr>
      <w:tr w:rsidR="000F170C" w:rsidRPr="00DE79CB" w14:paraId="045E61AA" w14:textId="77777777" w:rsidTr="003C297D">
        <w:trPr>
          <w:trHeight w:val="225"/>
        </w:trPr>
        <w:tc>
          <w:tcPr>
            <w:tcW w:w="1264" w:type="dxa"/>
            <w:vMerge/>
            <w:tcBorders>
              <w:top w:val="single" w:sz="6" w:space="0" w:color="FFFFFF" w:themeColor="background1"/>
              <w:left w:val="single" w:sz="6" w:space="0" w:color="FFFFFF"/>
              <w:bottom w:val="single" w:sz="6" w:space="0" w:color="FFFFFF"/>
              <w:right w:val="single" w:sz="6" w:space="0" w:color="FFFFFF"/>
            </w:tcBorders>
            <w:vAlign w:val="center"/>
            <w:hideMark/>
          </w:tcPr>
          <w:p w14:paraId="4342F8F0" w14:textId="77777777" w:rsidR="000F170C" w:rsidRPr="00DE79CB" w:rsidRDefault="000F170C" w:rsidP="004E7734">
            <w:pPr>
              <w:spacing w:after="0" w:line="240" w:lineRule="auto"/>
              <w:rPr>
                <w:rFonts w:ascii="Verdana" w:eastAsia="Verdana" w:hAnsi="Verdana" w:cs="Verdana"/>
                <w:sz w:val="18"/>
                <w:szCs w:val="18"/>
                <w:lang w:val="en-US"/>
              </w:rPr>
            </w:pPr>
          </w:p>
        </w:tc>
        <w:tc>
          <w:tcPr>
            <w:tcW w:w="863" w:type="dxa"/>
            <w:vMerge/>
            <w:tcBorders>
              <w:top w:val="single" w:sz="6" w:space="0" w:color="FFFFFF" w:themeColor="background1"/>
              <w:left w:val="single" w:sz="6" w:space="0" w:color="FFFFFF"/>
              <w:bottom w:val="single" w:sz="6" w:space="0" w:color="FFFFFF"/>
              <w:right w:val="single" w:sz="6" w:space="0" w:color="FFFFFF"/>
            </w:tcBorders>
            <w:vAlign w:val="center"/>
            <w:hideMark/>
          </w:tcPr>
          <w:p w14:paraId="7B54DDA2" w14:textId="77777777" w:rsidR="000F170C" w:rsidRPr="00DE79CB" w:rsidRDefault="000F170C" w:rsidP="004E7734">
            <w:pPr>
              <w:spacing w:after="0" w:line="240" w:lineRule="auto"/>
              <w:rPr>
                <w:rFonts w:ascii="Verdana" w:eastAsia="Verdana" w:hAnsi="Verdana" w:cs="Verdana"/>
                <w:sz w:val="18"/>
                <w:szCs w:val="18"/>
                <w:lang w:val="en-US"/>
              </w:rPr>
            </w:pPr>
          </w:p>
        </w:tc>
        <w:tc>
          <w:tcPr>
            <w:tcW w:w="1732" w:type="dxa"/>
            <w:tcBorders>
              <w:top w:val="single" w:sz="6" w:space="0" w:color="FFFFFF" w:themeColor="background1"/>
              <w:left w:val="nil"/>
              <w:bottom w:val="single" w:sz="6" w:space="0" w:color="FFFFFF"/>
              <w:right w:val="single" w:sz="6" w:space="0" w:color="FFFFFF"/>
            </w:tcBorders>
            <w:shd w:val="clear" w:color="auto" w:fill="E8E8E8"/>
            <w:vAlign w:val="center"/>
            <w:hideMark/>
          </w:tcPr>
          <w:p w14:paraId="01C796E0" w14:textId="77777777"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Fishery</w:t>
            </w:r>
            <w:proofErr w:type="spellEnd"/>
            <w:r w:rsidRPr="00DE79CB">
              <w:rPr>
                <w:rFonts w:ascii="Verdana" w:eastAsia="Verdana" w:hAnsi="Verdana" w:cs="Verdana"/>
                <w:sz w:val="18"/>
                <w:szCs w:val="18"/>
              </w:rPr>
              <w:t> </w:t>
            </w:r>
          </w:p>
        </w:tc>
        <w:tc>
          <w:tcPr>
            <w:tcW w:w="5213" w:type="dxa"/>
            <w:vMerge/>
            <w:tcBorders>
              <w:top w:val="single" w:sz="6" w:space="0" w:color="FFFFFF" w:themeColor="background1"/>
              <w:left w:val="single" w:sz="6" w:space="0" w:color="FFFFFF"/>
              <w:bottom w:val="single" w:sz="6" w:space="0" w:color="FFFFFF"/>
              <w:right w:val="single" w:sz="6" w:space="0" w:color="FFFFFF"/>
            </w:tcBorders>
            <w:vAlign w:val="center"/>
            <w:hideMark/>
          </w:tcPr>
          <w:p w14:paraId="60F3CF23" w14:textId="77777777" w:rsidR="000F170C" w:rsidRPr="00DE79CB" w:rsidRDefault="000F170C" w:rsidP="004E7734">
            <w:pPr>
              <w:spacing w:after="0" w:line="240" w:lineRule="auto"/>
              <w:rPr>
                <w:rFonts w:ascii="Verdana" w:eastAsia="Verdana" w:hAnsi="Verdana" w:cs="Verdana"/>
                <w:sz w:val="18"/>
                <w:szCs w:val="18"/>
              </w:rPr>
            </w:pPr>
          </w:p>
        </w:tc>
      </w:tr>
      <w:tr w:rsidR="000F170C" w:rsidRPr="00DE79CB" w14:paraId="376BE8C9" w14:textId="77777777" w:rsidTr="004E7734">
        <w:trPr>
          <w:trHeight w:val="225"/>
        </w:trPr>
        <w:tc>
          <w:tcPr>
            <w:tcW w:w="1264" w:type="dxa"/>
            <w:vMerge w:val="restart"/>
            <w:tcBorders>
              <w:top w:val="nil"/>
              <w:left w:val="single" w:sz="6" w:space="0" w:color="FFFFFF"/>
              <w:bottom w:val="single" w:sz="6" w:space="0" w:color="FFFFFF"/>
              <w:right w:val="single" w:sz="6" w:space="0" w:color="FFFFFF"/>
            </w:tcBorders>
            <w:shd w:val="clear" w:color="auto" w:fill="D9D9D9"/>
            <w:vAlign w:val="center"/>
            <w:hideMark/>
          </w:tcPr>
          <w:p w14:paraId="46BD72F4"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Mozambique </w:t>
            </w:r>
          </w:p>
        </w:tc>
        <w:tc>
          <w:tcPr>
            <w:tcW w:w="863" w:type="dxa"/>
            <w:vMerge w:val="restart"/>
            <w:tcBorders>
              <w:top w:val="nil"/>
              <w:left w:val="single" w:sz="6" w:space="0" w:color="FFFFFF"/>
              <w:bottom w:val="single" w:sz="6" w:space="0" w:color="FFFFFF"/>
              <w:right w:val="single" w:sz="6" w:space="0" w:color="FFFFFF"/>
            </w:tcBorders>
            <w:shd w:val="clear" w:color="auto" w:fill="D9D9D9"/>
            <w:vAlign w:val="center"/>
            <w:hideMark/>
          </w:tcPr>
          <w:p w14:paraId="6CEFE5DC" w14:textId="6857DB51"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Agri</w:t>
            </w:r>
            <w:r w:rsidR="00651AE4" w:rsidRPr="00DE79CB">
              <w:rPr>
                <w:rFonts w:ascii="Verdana" w:eastAsia="Verdana" w:hAnsi="Verdana" w:cs="Verdana"/>
                <w:sz w:val="18"/>
                <w:szCs w:val="18"/>
              </w:rPr>
              <w:t>culture</w:t>
            </w:r>
            <w:proofErr w:type="spellEnd"/>
            <w:r w:rsidRPr="00DE79CB">
              <w:rPr>
                <w:rFonts w:ascii="Verdana" w:eastAsia="Verdana" w:hAnsi="Verdana" w:cs="Verdana"/>
                <w:sz w:val="18"/>
                <w:szCs w:val="18"/>
              </w:rPr>
              <w:t> </w:t>
            </w:r>
          </w:p>
        </w:tc>
        <w:tc>
          <w:tcPr>
            <w:tcW w:w="1732" w:type="dxa"/>
            <w:tcBorders>
              <w:top w:val="nil"/>
              <w:left w:val="nil"/>
              <w:bottom w:val="single" w:sz="6" w:space="0" w:color="FFFFFF"/>
              <w:right w:val="single" w:sz="6" w:space="0" w:color="FFFFFF"/>
            </w:tcBorders>
            <w:shd w:val="clear" w:color="auto" w:fill="D9D9D9"/>
            <w:vAlign w:val="center"/>
            <w:hideMark/>
          </w:tcPr>
          <w:p w14:paraId="4A52265A"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Coffee </w:t>
            </w:r>
          </w:p>
        </w:tc>
        <w:tc>
          <w:tcPr>
            <w:tcW w:w="5213" w:type="dxa"/>
            <w:tcBorders>
              <w:top w:val="nil"/>
              <w:left w:val="nil"/>
              <w:bottom w:val="single" w:sz="6" w:space="0" w:color="FFFFFF"/>
              <w:right w:val="single" w:sz="6" w:space="0" w:color="FFFFFF"/>
            </w:tcBorders>
            <w:shd w:val="clear" w:color="auto" w:fill="D9D9D9"/>
            <w:vAlign w:val="bottom"/>
            <w:hideMark/>
          </w:tcPr>
          <w:p w14:paraId="4C96273B" w14:textId="77777777" w:rsidR="000F170C" w:rsidRPr="00DE79CB" w:rsidRDefault="000F170C"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Child labour; income &amp; productivity; gender equality; youth engagement; climate resilience &amp; adaptation; deforestation; Regional focus: the Beira Corridor, the Nacala Corridor &amp; Gorongosa </w:t>
            </w:r>
          </w:p>
        </w:tc>
      </w:tr>
      <w:tr w:rsidR="000F170C" w:rsidRPr="00DE79CB" w14:paraId="1A43EF30" w14:textId="77777777" w:rsidTr="004E7734">
        <w:trPr>
          <w:trHeight w:val="225"/>
        </w:trPr>
        <w:tc>
          <w:tcPr>
            <w:tcW w:w="1264" w:type="dxa"/>
            <w:vMerge/>
            <w:tcBorders>
              <w:top w:val="nil"/>
              <w:left w:val="single" w:sz="6" w:space="0" w:color="FFFFFF"/>
              <w:bottom w:val="single" w:sz="6" w:space="0" w:color="FFFFFF"/>
              <w:right w:val="single" w:sz="6" w:space="0" w:color="FFFFFF"/>
            </w:tcBorders>
            <w:vAlign w:val="center"/>
            <w:hideMark/>
          </w:tcPr>
          <w:p w14:paraId="41CE4581" w14:textId="77777777" w:rsidR="000F170C" w:rsidRPr="00DE79CB" w:rsidRDefault="000F170C" w:rsidP="004E7734">
            <w:pPr>
              <w:spacing w:after="0" w:line="240" w:lineRule="auto"/>
              <w:rPr>
                <w:rFonts w:ascii="Verdana" w:eastAsia="Verdana" w:hAnsi="Verdana" w:cs="Verdana"/>
                <w:sz w:val="18"/>
                <w:szCs w:val="18"/>
                <w:lang w:val="en-US"/>
              </w:rPr>
            </w:pPr>
          </w:p>
        </w:tc>
        <w:tc>
          <w:tcPr>
            <w:tcW w:w="863" w:type="dxa"/>
            <w:vMerge/>
            <w:tcBorders>
              <w:top w:val="nil"/>
              <w:left w:val="single" w:sz="6" w:space="0" w:color="FFFFFF"/>
              <w:bottom w:val="single" w:sz="6" w:space="0" w:color="FFFFFF"/>
              <w:right w:val="single" w:sz="6" w:space="0" w:color="FFFFFF"/>
            </w:tcBorders>
            <w:vAlign w:val="center"/>
            <w:hideMark/>
          </w:tcPr>
          <w:p w14:paraId="214D4194" w14:textId="77777777" w:rsidR="000F170C" w:rsidRPr="00DE79CB" w:rsidRDefault="000F170C" w:rsidP="004E7734">
            <w:pPr>
              <w:spacing w:after="0" w:line="240" w:lineRule="auto"/>
              <w:rPr>
                <w:rFonts w:ascii="Verdana" w:eastAsia="Verdana" w:hAnsi="Verdana" w:cs="Verdana"/>
                <w:sz w:val="18"/>
                <w:szCs w:val="18"/>
                <w:lang w:val="en-US"/>
              </w:rPr>
            </w:pPr>
          </w:p>
        </w:tc>
        <w:tc>
          <w:tcPr>
            <w:tcW w:w="1732" w:type="dxa"/>
            <w:tcBorders>
              <w:top w:val="nil"/>
              <w:left w:val="nil"/>
              <w:bottom w:val="single" w:sz="6" w:space="0" w:color="FFFFFF"/>
              <w:right w:val="single" w:sz="6" w:space="0" w:color="FFFFFF"/>
            </w:tcBorders>
            <w:shd w:val="clear" w:color="auto" w:fill="D9D9D9"/>
            <w:vAlign w:val="center"/>
            <w:hideMark/>
          </w:tcPr>
          <w:p w14:paraId="2BD98AD5"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Cashew  </w:t>
            </w:r>
          </w:p>
        </w:tc>
        <w:tc>
          <w:tcPr>
            <w:tcW w:w="5213" w:type="dxa"/>
            <w:tcBorders>
              <w:top w:val="nil"/>
              <w:left w:val="nil"/>
              <w:bottom w:val="single" w:sz="6" w:space="0" w:color="FFFFFF"/>
              <w:right w:val="single" w:sz="6" w:space="0" w:color="FFFFFF"/>
            </w:tcBorders>
            <w:shd w:val="clear" w:color="auto" w:fill="D9D9D9"/>
            <w:vAlign w:val="bottom"/>
            <w:hideMark/>
          </w:tcPr>
          <w:p w14:paraId="53AFCC78" w14:textId="49722951" w:rsidR="000F170C" w:rsidRPr="00DE79CB" w:rsidRDefault="000F170C"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Income &amp; productivity; </w:t>
            </w:r>
            <w:r w:rsidR="00A652E0" w:rsidRPr="00DE79CB">
              <w:rPr>
                <w:rFonts w:ascii="Verdana" w:eastAsia="Verdana" w:hAnsi="Verdana" w:cs="Verdana"/>
                <w:sz w:val="18"/>
                <w:szCs w:val="18"/>
                <w:lang w:val="en-US"/>
              </w:rPr>
              <w:t>gender</w:t>
            </w:r>
            <w:r w:rsidR="003C297D" w:rsidRPr="00DE79CB">
              <w:rPr>
                <w:rFonts w:ascii="Verdana" w:eastAsia="Verdana" w:hAnsi="Verdana" w:cs="Verdana"/>
                <w:sz w:val="18"/>
                <w:szCs w:val="18"/>
                <w:lang w:val="en-US"/>
              </w:rPr>
              <w:t xml:space="preserve"> </w:t>
            </w:r>
            <w:r w:rsidR="00A652E0" w:rsidRPr="00DE79CB">
              <w:rPr>
                <w:rFonts w:ascii="Verdana" w:eastAsia="Verdana" w:hAnsi="Verdana" w:cs="Verdana"/>
                <w:sz w:val="18"/>
                <w:szCs w:val="18"/>
                <w:lang w:val="en-US"/>
              </w:rPr>
              <w:t xml:space="preserve">equality, youth participation, climate adaptation and -mitigation, </w:t>
            </w:r>
            <w:r w:rsidRPr="00DE79CB">
              <w:rPr>
                <w:rFonts w:ascii="Verdana" w:eastAsia="Verdana" w:hAnsi="Verdana" w:cs="Verdana"/>
                <w:sz w:val="18"/>
                <w:szCs w:val="18"/>
                <w:lang w:val="en-US"/>
              </w:rPr>
              <w:t>deforestation; Regional focus: the Beira Corridor, the Nacala Corridor &amp; Gorongosa </w:t>
            </w:r>
          </w:p>
        </w:tc>
      </w:tr>
      <w:tr w:rsidR="000F170C" w:rsidRPr="00DE79CB" w14:paraId="600BE550" w14:textId="77777777" w:rsidTr="004E7734">
        <w:trPr>
          <w:trHeight w:val="225"/>
        </w:trPr>
        <w:tc>
          <w:tcPr>
            <w:tcW w:w="1264" w:type="dxa"/>
            <w:vMerge/>
            <w:tcBorders>
              <w:top w:val="nil"/>
              <w:left w:val="single" w:sz="6" w:space="0" w:color="FFFFFF"/>
              <w:bottom w:val="single" w:sz="6" w:space="0" w:color="FFFFFF"/>
              <w:right w:val="single" w:sz="6" w:space="0" w:color="FFFFFF"/>
            </w:tcBorders>
            <w:vAlign w:val="center"/>
            <w:hideMark/>
          </w:tcPr>
          <w:p w14:paraId="3B3BC4E0" w14:textId="77777777" w:rsidR="000F170C" w:rsidRPr="00DE79CB" w:rsidRDefault="000F170C" w:rsidP="004E7734">
            <w:pPr>
              <w:spacing w:after="0" w:line="240" w:lineRule="auto"/>
              <w:rPr>
                <w:rFonts w:ascii="Verdana" w:eastAsia="Verdana" w:hAnsi="Verdana" w:cs="Verdana"/>
                <w:sz w:val="18"/>
                <w:szCs w:val="18"/>
                <w:lang w:val="en-US"/>
              </w:rPr>
            </w:pPr>
          </w:p>
        </w:tc>
        <w:tc>
          <w:tcPr>
            <w:tcW w:w="863" w:type="dxa"/>
            <w:vMerge/>
            <w:tcBorders>
              <w:top w:val="nil"/>
              <w:left w:val="single" w:sz="6" w:space="0" w:color="FFFFFF"/>
              <w:bottom w:val="single" w:sz="6" w:space="0" w:color="FFFFFF"/>
              <w:right w:val="single" w:sz="6" w:space="0" w:color="FFFFFF"/>
            </w:tcBorders>
            <w:vAlign w:val="center"/>
            <w:hideMark/>
          </w:tcPr>
          <w:p w14:paraId="7EFCA74E" w14:textId="77777777" w:rsidR="000F170C" w:rsidRPr="00DE79CB" w:rsidRDefault="000F170C" w:rsidP="004E7734">
            <w:pPr>
              <w:spacing w:after="0" w:line="240" w:lineRule="auto"/>
              <w:rPr>
                <w:rFonts w:ascii="Verdana" w:eastAsia="Verdana" w:hAnsi="Verdana" w:cs="Verdana"/>
                <w:sz w:val="18"/>
                <w:szCs w:val="18"/>
                <w:lang w:val="en-US"/>
              </w:rPr>
            </w:pPr>
          </w:p>
        </w:tc>
        <w:tc>
          <w:tcPr>
            <w:tcW w:w="1732" w:type="dxa"/>
            <w:tcBorders>
              <w:top w:val="nil"/>
              <w:left w:val="nil"/>
              <w:bottom w:val="single" w:sz="6" w:space="0" w:color="FFFFFF"/>
              <w:right w:val="single" w:sz="6" w:space="0" w:color="FFFFFF"/>
            </w:tcBorders>
            <w:shd w:val="clear" w:color="auto" w:fill="D9D9D9"/>
            <w:vAlign w:val="center"/>
            <w:hideMark/>
          </w:tcPr>
          <w:p w14:paraId="3DAB44B0" w14:textId="77777777"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Tropical</w:t>
            </w:r>
            <w:proofErr w:type="spellEnd"/>
            <w:r w:rsidRPr="00DE79CB">
              <w:rPr>
                <w:rFonts w:ascii="Verdana" w:eastAsia="Verdana" w:hAnsi="Verdana" w:cs="Verdana"/>
                <w:sz w:val="18"/>
                <w:szCs w:val="18"/>
              </w:rPr>
              <w:t> </w:t>
            </w:r>
            <w:proofErr w:type="spellStart"/>
            <w:r w:rsidRPr="00DE79CB">
              <w:rPr>
                <w:rFonts w:ascii="Verdana" w:eastAsia="Verdana" w:hAnsi="Verdana" w:cs="Verdana"/>
                <w:sz w:val="18"/>
                <w:szCs w:val="18"/>
              </w:rPr>
              <w:t>fruits</w:t>
            </w:r>
            <w:proofErr w:type="spellEnd"/>
            <w:r w:rsidRPr="00DE79CB">
              <w:rPr>
                <w:rFonts w:ascii="Verdana" w:eastAsia="Verdana" w:hAnsi="Verdana" w:cs="Verdana"/>
                <w:sz w:val="18"/>
                <w:szCs w:val="18"/>
              </w:rPr>
              <w:t> </w:t>
            </w:r>
          </w:p>
        </w:tc>
        <w:tc>
          <w:tcPr>
            <w:tcW w:w="5213" w:type="dxa"/>
            <w:tcBorders>
              <w:top w:val="nil"/>
              <w:left w:val="nil"/>
              <w:bottom w:val="single" w:sz="6" w:space="0" w:color="FFFFFF"/>
              <w:right w:val="single" w:sz="6" w:space="0" w:color="FFFFFF"/>
            </w:tcBorders>
            <w:shd w:val="clear" w:color="auto" w:fill="D9D9D9"/>
            <w:vAlign w:val="bottom"/>
            <w:hideMark/>
          </w:tcPr>
          <w:p w14:paraId="6E76D665" w14:textId="77777777" w:rsidR="000F170C" w:rsidRPr="00DE79CB" w:rsidRDefault="000F170C" w:rsidP="004E7734">
            <w:pPr>
              <w:spacing w:after="0" w:line="240" w:lineRule="auto"/>
              <w:rPr>
                <w:rFonts w:ascii="Verdana" w:eastAsia="Verdana" w:hAnsi="Verdana" w:cs="Verdana"/>
                <w:sz w:val="18"/>
                <w:szCs w:val="18"/>
                <w:lang w:val="pt-PT"/>
              </w:rPr>
            </w:pPr>
            <w:r w:rsidRPr="00DE79CB">
              <w:rPr>
                <w:rFonts w:ascii="Verdana" w:eastAsia="Verdana" w:hAnsi="Verdana" w:cs="Verdana"/>
                <w:sz w:val="18"/>
                <w:szCs w:val="18"/>
                <w:lang w:val="pt-PT"/>
              </w:rPr>
              <w:t>Regional focus: the Beira Corridor, the Nacala Corridor &amp; Gorongosa </w:t>
            </w:r>
          </w:p>
        </w:tc>
      </w:tr>
      <w:tr w:rsidR="000F170C" w:rsidRPr="00DE79CB" w14:paraId="3EFC6F3A" w14:textId="77777777" w:rsidTr="004E7734">
        <w:trPr>
          <w:trHeight w:val="225"/>
        </w:trPr>
        <w:tc>
          <w:tcPr>
            <w:tcW w:w="1264" w:type="dxa"/>
            <w:vMerge/>
            <w:tcBorders>
              <w:top w:val="nil"/>
              <w:left w:val="single" w:sz="6" w:space="0" w:color="FFFFFF"/>
              <w:bottom w:val="single" w:sz="6" w:space="0" w:color="FFFFFF"/>
              <w:right w:val="single" w:sz="6" w:space="0" w:color="FFFFFF"/>
            </w:tcBorders>
            <w:vAlign w:val="center"/>
            <w:hideMark/>
          </w:tcPr>
          <w:p w14:paraId="43691B62" w14:textId="77777777" w:rsidR="000F170C" w:rsidRPr="00DE79CB" w:rsidRDefault="000F170C" w:rsidP="004E7734">
            <w:pPr>
              <w:spacing w:after="0" w:line="240" w:lineRule="auto"/>
              <w:rPr>
                <w:rFonts w:ascii="Verdana" w:eastAsia="Verdana" w:hAnsi="Verdana" w:cs="Verdana"/>
                <w:sz w:val="18"/>
                <w:szCs w:val="18"/>
                <w:lang w:val="pt-PT"/>
              </w:rPr>
            </w:pPr>
          </w:p>
        </w:tc>
        <w:tc>
          <w:tcPr>
            <w:tcW w:w="863" w:type="dxa"/>
            <w:tcBorders>
              <w:top w:val="nil"/>
              <w:left w:val="nil"/>
              <w:bottom w:val="single" w:sz="6" w:space="0" w:color="FFFFFF"/>
              <w:right w:val="single" w:sz="6" w:space="0" w:color="FFFFFF"/>
            </w:tcBorders>
            <w:shd w:val="clear" w:color="auto" w:fill="D9D9D9"/>
            <w:vAlign w:val="center"/>
            <w:hideMark/>
          </w:tcPr>
          <w:p w14:paraId="324C58F7"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CRM </w:t>
            </w:r>
          </w:p>
        </w:tc>
        <w:tc>
          <w:tcPr>
            <w:tcW w:w="1732" w:type="dxa"/>
            <w:tcBorders>
              <w:top w:val="nil"/>
              <w:left w:val="nil"/>
              <w:bottom w:val="single" w:sz="6" w:space="0" w:color="FFFFFF"/>
              <w:right w:val="single" w:sz="6" w:space="0" w:color="FFFFFF"/>
            </w:tcBorders>
            <w:shd w:val="clear" w:color="auto" w:fill="D9D9D9"/>
            <w:vAlign w:val="center"/>
            <w:hideMark/>
          </w:tcPr>
          <w:p w14:paraId="35FDD7D1"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Gold </w:t>
            </w:r>
          </w:p>
        </w:tc>
        <w:tc>
          <w:tcPr>
            <w:tcW w:w="5213" w:type="dxa"/>
            <w:tcBorders>
              <w:top w:val="nil"/>
              <w:left w:val="nil"/>
              <w:bottom w:val="single" w:sz="6" w:space="0" w:color="FFFFFF"/>
              <w:right w:val="single" w:sz="6" w:space="0" w:color="FFFFFF"/>
            </w:tcBorders>
            <w:shd w:val="clear" w:color="auto" w:fill="D9D9D9"/>
            <w:vAlign w:val="bottom"/>
            <w:hideMark/>
          </w:tcPr>
          <w:p w14:paraId="664D4FD4" w14:textId="77777777" w:rsidR="000F170C" w:rsidRPr="00DE79CB" w:rsidRDefault="000F170C" w:rsidP="004E7734">
            <w:pPr>
              <w:spacing w:after="0" w:line="240" w:lineRule="auto"/>
              <w:rPr>
                <w:rFonts w:ascii="Verdana" w:eastAsia="Verdana" w:hAnsi="Verdana" w:cs="Verdana"/>
                <w:sz w:val="18"/>
                <w:szCs w:val="18"/>
                <w:lang w:val="pt-PT"/>
              </w:rPr>
            </w:pPr>
            <w:r w:rsidRPr="00DE79CB">
              <w:rPr>
                <w:rFonts w:ascii="Verdana" w:eastAsia="Verdana" w:hAnsi="Verdana" w:cs="Verdana"/>
                <w:sz w:val="18"/>
                <w:szCs w:val="18"/>
                <w:lang w:val="pt-PT"/>
              </w:rPr>
              <w:t> Regional focus: the Beira Corridor, the Nacala Corridor &amp; Gorongosa </w:t>
            </w:r>
          </w:p>
        </w:tc>
      </w:tr>
      <w:tr w:rsidR="000F170C" w:rsidRPr="00DE79CB" w14:paraId="01C76DF8" w14:textId="77777777" w:rsidTr="004E7734">
        <w:trPr>
          <w:trHeight w:val="210"/>
        </w:trPr>
        <w:tc>
          <w:tcPr>
            <w:tcW w:w="1264" w:type="dxa"/>
            <w:tcBorders>
              <w:top w:val="nil"/>
              <w:left w:val="single" w:sz="6" w:space="0" w:color="FFFFFF"/>
              <w:bottom w:val="single" w:sz="6" w:space="0" w:color="FFFFFF"/>
              <w:right w:val="single" w:sz="6" w:space="0" w:color="FFFFFF"/>
            </w:tcBorders>
            <w:shd w:val="clear" w:color="auto" w:fill="E8E8E8"/>
            <w:vAlign w:val="center"/>
            <w:hideMark/>
          </w:tcPr>
          <w:p w14:paraId="7543DD88"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Nigeria </w:t>
            </w:r>
          </w:p>
        </w:tc>
        <w:tc>
          <w:tcPr>
            <w:tcW w:w="863" w:type="dxa"/>
            <w:tcBorders>
              <w:top w:val="nil"/>
              <w:left w:val="single" w:sz="6" w:space="0" w:color="FFFFFF"/>
              <w:bottom w:val="single" w:sz="6" w:space="0" w:color="FFFFFF"/>
              <w:right w:val="single" w:sz="6" w:space="0" w:color="FFFFFF"/>
            </w:tcBorders>
            <w:shd w:val="clear" w:color="auto" w:fill="E8E8E8"/>
            <w:vAlign w:val="center"/>
            <w:hideMark/>
          </w:tcPr>
          <w:p w14:paraId="4796A5F6" w14:textId="24FE3987"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Agri</w:t>
            </w:r>
            <w:r w:rsidR="00A652E0" w:rsidRPr="00DE79CB">
              <w:rPr>
                <w:rFonts w:ascii="Verdana" w:eastAsia="Verdana" w:hAnsi="Verdana" w:cs="Verdana"/>
                <w:sz w:val="18"/>
                <w:szCs w:val="18"/>
              </w:rPr>
              <w:t>cultue</w:t>
            </w:r>
            <w:proofErr w:type="spellEnd"/>
            <w:r w:rsidRPr="00DE79CB">
              <w:rPr>
                <w:rFonts w:ascii="Verdana" w:eastAsia="Verdana" w:hAnsi="Verdana" w:cs="Verdana"/>
                <w:sz w:val="18"/>
                <w:szCs w:val="18"/>
              </w:rPr>
              <w:t> </w:t>
            </w:r>
          </w:p>
        </w:tc>
        <w:tc>
          <w:tcPr>
            <w:tcW w:w="1732" w:type="dxa"/>
            <w:tcBorders>
              <w:top w:val="nil"/>
              <w:left w:val="nil"/>
              <w:bottom w:val="single" w:sz="6" w:space="0" w:color="FFFFFF"/>
              <w:right w:val="single" w:sz="6" w:space="0" w:color="FFFFFF"/>
            </w:tcBorders>
            <w:shd w:val="clear" w:color="auto" w:fill="E8E8E8"/>
            <w:vAlign w:val="center"/>
            <w:hideMark/>
          </w:tcPr>
          <w:p w14:paraId="7969BC6F" w14:textId="7229208E"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Horti</w:t>
            </w:r>
            <w:r w:rsidR="00A652E0" w:rsidRPr="00DE79CB">
              <w:rPr>
                <w:rFonts w:ascii="Verdana" w:eastAsia="Verdana" w:hAnsi="Verdana" w:cs="Verdana"/>
                <w:sz w:val="18"/>
                <w:szCs w:val="18"/>
              </w:rPr>
              <w:t>culture</w:t>
            </w:r>
            <w:proofErr w:type="spellEnd"/>
          </w:p>
        </w:tc>
        <w:tc>
          <w:tcPr>
            <w:tcW w:w="5213" w:type="dxa"/>
            <w:tcBorders>
              <w:top w:val="nil"/>
              <w:left w:val="single" w:sz="6" w:space="0" w:color="FFFFFF"/>
              <w:bottom w:val="single" w:sz="6" w:space="0" w:color="FFFFFF"/>
              <w:right w:val="single" w:sz="6" w:space="0" w:color="FFFFFF"/>
            </w:tcBorders>
            <w:shd w:val="clear" w:color="auto" w:fill="E8E8E8"/>
            <w:hideMark/>
          </w:tcPr>
          <w:p w14:paraId="686EE801" w14:textId="2ED2D236" w:rsidR="000F170C" w:rsidRPr="00DE79CB" w:rsidRDefault="00A652E0"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F</w:t>
            </w:r>
            <w:r w:rsidR="000F170C" w:rsidRPr="00DE79CB">
              <w:rPr>
                <w:rFonts w:ascii="Verdana" w:eastAsia="Verdana" w:hAnsi="Verdana" w:cs="Verdana"/>
                <w:sz w:val="18"/>
                <w:szCs w:val="18"/>
                <w:lang w:val="en-US"/>
              </w:rPr>
              <w:t>ood and nutrition security, youth employment, </w:t>
            </w:r>
            <w:proofErr w:type="spellStart"/>
            <w:r w:rsidR="000F170C" w:rsidRPr="00DE79CB">
              <w:rPr>
                <w:rFonts w:ascii="Verdana" w:eastAsia="Verdana" w:hAnsi="Verdana" w:cs="Verdana"/>
                <w:sz w:val="18"/>
                <w:szCs w:val="18"/>
                <w:lang w:val="en-US"/>
              </w:rPr>
              <w:t>circulair</w:t>
            </w:r>
            <w:proofErr w:type="spellEnd"/>
            <w:r w:rsidR="000F170C" w:rsidRPr="00DE79CB">
              <w:rPr>
                <w:rFonts w:ascii="Verdana" w:eastAsia="Verdana" w:hAnsi="Verdana" w:cs="Verdana"/>
                <w:sz w:val="18"/>
                <w:szCs w:val="18"/>
                <w:lang w:val="en-US"/>
              </w:rPr>
              <w:t> economy, human rights </w:t>
            </w:r>
          </w:p>
        </w:tc>
      </w:tr>
      <w:tr w:rsidR="000F170C" w:rsidRPr="00DE79CB" w14:paraId="64605033" w14:textId="77777777" w:rsidTr="004E7734">
        <w:trPr>
          <w:trHeight w:val="225"/>
        </w:trPr>
        <w:tc>
          <w:tcPr>
            <w:tcW w:w="1264" w:type="dxa"/>
            <w:vMerge w:val="restart"/>
            <w:tcBorders>
              <w:top w:val="nil"/>
              <w:left w:val="single" w:sz="6" w:space="0" w:color="FFFFFF"/>
              <w:bottom w:val="single" w:sz="6" w:space="0" w:color="FFFFFF"/>
              <w:right w:val="single" w:sz="6" w:space="0" w:color="FFFFFF"/>
            </w:tcBorders>
            <w:shd w:val="clear" w:color="auto" w:fill="D9D9D9"/>
            <w:vAlign w:val="center"/>
            <w:hideMark/>
          </w:tcPr>
          <w:p w14:paraId="7B55DCE1" w14:textId="77777777"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Palestinian</w:t>
            </w:r>
            <w:proofErr w:type="spellEnd"/>
            <w:r w:rsidRPr="00DE79CB">
              <w:rPr>
                <w:rFonts w:ascii="Verdana" w:eastAsia="Verdana" w:hAnsi="Verdana" w:cs="Verdana"/>
                <w:sz w:val="18"/>
                <w:szCs w:val="18"/>
              </w:rPr>
              <w:t> </w:t>
            </w:r>
            <w:proofErr w:type="spellStart"/>
            <w:r w:rsidRPr="00DE79CB">
              <w:rPr>
                <w:rFonts w:ascii="Verdana" w:eastAsia="Verdana" w:hAnsi="Verdana" w:cs="Verdana"/>
                <w:sz w:val="18"/>
                <w:szCs w:val="18"/>
              </w:rPr>
              <w:t>Territories</w:t>
            </w:r>
            <w:proofErr w:type="spellEnd"/>
            <w:r w:rsidRPr="00DE79CB">
              <w:rPr>
                <w:rFonts w:ascii="Verdana" w:eastAsia="Verdana" w:hAnsi="Verdana" w:cs="Verdana"/>
                <w:sz w:val="18"/>
                <w:szCs w:val="18"/>
              </w:rPr>
              <w:t> </w:t>
            </w:r>
          </w:p>
        </w:tc>
        <w:tc>
          <w:tcPr>
            <w:tcW w:w="863" w:type="dxa"/>
            <w:vMerge w:val="restart"/>
            <w:tcBorders>
              <w:top w:val="nil"/>
              <w:left w:val="single" w:sz="6" w:space="0" w:color="FFFFFF"/>
              <w:bottom w:val="single" w:sz="6" w:space="0" w:color="FFFFFF"/>
              <w:right w:val="single" w:sz="6" w:space="0" w:color="FFFFFF"/>
            </w:tcBorders>
            <w:shd w:val="clear" w:color="auto" w:fill="D9D9D9"/>
            <w:vAlign w:val="center"/>
            <w:hideMark/>
          </w:tcPr>
          <w:p w14:paraId="2807A97D" w14:textId="749ABEF2"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Agri</w:t>
            </w:r>
            <w:r w:rsidR="00A652E0" w:rsidRPr="00DE79CB">
              <w:rPr>
                <w:rFonts w:ascii="Verdana" w:eastAsia="Verdana" w:hAnsi="Verdana" w:cs="Verdana"/>
                <w:sz w:val="18"/>
                <w:szCs w:val="18"/>
              </w:rPr>
              <w:t>culture</w:t>
            </w:r>
            <w:proofErr w:type="spellEnd"/>
            <w:r w:rsidRPr="00DE79CB">
              <w:rPr>
                <w:rFonts w:ascii="Verdana" w:eastAsia="Verdana" w:hAnsi="Verdana" w:cs="Verdana"/>
                <w:sz w:val="18"/>
                <w:szCs w:val="18"/>
              </w:rPr>
              <w:t> </w:t>
            </w:r>
          </w:p>
        </w:tc>
        <w:tc>
          <w:tcPr>
            <w:tcW w:w="1732" w:type="dxa"/>
            <w:tcBorders>
              <w:top w:val="nil"/>
              <w:left w:val="nil"/>
              <w:bottom w:val="single" w:sz="6" w:space="0" w:color="FFFFFF"/>
              <w:right w:val="single" w:sz="6" w:space="0" w:color="FFFFFF"/>
            </w:tcBorders>
            <w:shd w:val="clear" w:color="auto" w:fill="D9D9D9"/>
            <w:vAlign w:val="center"/>
            <w:hideMark/>
          </w:tcPr>
          <w:p w14:paraId="48FDDCBA" w14:textId="2EE8C701" w:rsidR="000F170C" w:rsidRPr="00DE79CB" w:rsidRDefault="00A652E0"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Herbs</w:t>
            </w:r>
            <w:proofErr w:type="spellEnd"/>
            <w:r w:rsidR="000F170C" w:rsidRPr="00DE79CB">
              <w:rPr>
                <w:rFonts w:ascii="Verdana" w:eastAsia="Verdana" w:hAnsi="Verdana" w:cs="Verdana"/>
                <w:sz w:val="18"/>
                <w:szCs w:val="18"/>
              </w:rPr>
              <w:t> </w:t>
            </w:r>
          </w:p>
        </w:tc>
        <w:tc>
          <w:tcPr>
            <w:tcW w:w="5213" w:type="dxa"/>
            <w:vMerge w:val="restart"/>
            <w:tcBorders>
              <w:top w:val="nil"/>
              <w:left w:val="single" w:sz="6" w:space="0" w:color="FFFFFF"/>
              <w:bottom w:val="single" w:sz="6" w:space="0" w:color="FFFFFF"/>
              <w:right w:val="single" w:sz="6" w:space="0" w:color="FFFFFF"/>
            </w:tcBorders>
            <w:shd w:val="clear" w:color="auto" w:fill="D9D9D9"/>
            <w:hideMark/>
          </w:tcPr>
          <w:p w14:paraId="4E09ADE0" w14:textId="77777777" w:rsidR="000F170C" w:rsidRPr="00DE79CB" w:rsidRDefault="000F170C"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Water scarcity, sustainable production, waste management, reduce usage of toxic chemicals, Palestinian fair trade label, complying to EU standards </w:t>
            </w:r>
          </w:p>
        </w:tc>
      </w:tr>
      <w:tr w:rsidR="000F170C" w:rsidRPr="00DE79CB" w14:paraId="62317A54" w14:textId="77777777" w:rsidTr="004E7734">
        <w:trPr>
          <w:trHeight w:val="435"/>
        </w:trPr>
        <w:tc>
          <w:tcPr>
            <w:tcW w:w="1264" w:type="dxa"/>
            <w:vMerge/>
            <w:tcBorders>
              <w:top w:val="nil"/>
              <w:left w:val="single" w:sz="6" w:space="0" w:color="FFFFFF"/>
              <w:bottom w:val="single" w:sz="6" w:space="0" w:color="FFFFFF"/>
              <w:right w:val="single" w:sz="6" w:space="0" w:color="FFFFFF"/>
            </w:tcBorders>
            <w:vAlign w:val="center"/>
            <w:hideMark/>
          </w:tcPr>
          <w:p w14:paraId="5DF1AEF5" w14:textId="77777777" w:rsidR="000F170C" w:rsidRPr="00DE79CB" w:rsidRDefault="000F170C" w:rsidP="004E7734">
            <w:pPr>
              <w:spacing w:after="0" w:line="240" w:lineRule="auto"/>
              <w:rPr>
                <w:rFonts w:ascii="Verdana" w:eastAsia="Verdana" w:hAnsi="Verdana" w:cs="Verdana"/>
                <w:sz w:val="18"/>
                <w:szCs w:val="18"/>
                <w:lang w:val="en-US"/>
              </w:rPr>
            </w:pPr>
          </w:p>
        </w:tc>
        <w:tc>
          <w:tcPr>
            <w:tcW w:w="863" w:type="dxa"/>
            <w:vMerge/>
            <w:tcBorders>
              <w:top w:val="nil"/>
              <w:left w:val="single" w:sz="6" w:space="0" w:color="FFFFFF"/>
              <w:bottom w:val="single" w:sz="6" w:space="0" w:color="FFFFFF"/>
              <w:right w:val="single" w:sz="6" w:space="0" w:color="FFFFFF"/>
            </w:tcBorders>
            <w:vAlign w:val="center"/>
            <w:hideMark/>
          </w:tcPr>
          <w:p w14:paraId="1BD1E591" w14:textId="77777777" w:rsidR="000F170C" w:rsidRPr="00DE79CB" w:rsidRDefault="000F170C" w:rsidP="004E7734">
            <w:pPr>
              <w:spacing w:after="0" w:line="240" w:lineRule="auto"/>
              <w:rPr>
                <w:rFonts w:ascii="Verdana" w:eastAsia="Verdana" w:hAnsi="Verdana" w:cs="Verdana"/>
                <w:sz w:val="18"/>
                <w:szCs w:val="18"/>
                <w:lang w:val="en-US"/>
              </w:rPr>
            </w:pPr>
          </w:p>
        </w:tc>
        <w:tc>
          <w:tcPr>
            <w:tcW w:w="1732" w:type="dxa"/>
            <w:tcBorders>
              <w:top w:val="nil"/>
              <w:left w:val="nil"/>
              <w:bottom w:val="single" w:sz="6" w:space="0" w:color="FFFFFF"/>
              <w:right w:val="single" w:sz="6" w:space="0" w:color="FFFFFF"/>
            </w:tcBorders>
            <w:shd w:val="clear" w:color="auto" w:fill="D9D9D9"/>
            <w:vAlign w:val="center"/>
            <w:hideMark/>
          </w:tcPr>
          <w:p w14:paraId="5E60A91E" w14:textId="77777777"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Processed</w:t>
            </w:r>
            <w:proofErr w:type="spellEnd"/>
            <w:r w:rsidRPr="00DE79CB">
              <w:rPr>
                <w:rFonts w:ascii="Verdana" w:eastAsia="Verdana" w:hAnsi="Verdana" w:cs="Verdana"/>
                <w:sz w:val="18"/>
                <w:szCs w:val="18"/>
              </w:rPr>
              <w:t> </w:t>
            </w:r>
          </w:p>
          <w:p w14:paraId="3D44BBA4" w14:textId="2A3CCB58"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Vegetables</w:t>
            </w:r>
            <w:proofErr w:type="spellEnd"/>
            <w:r w:rsidRPr="00DE79CB">
              <w:rPr>
                <w:rFonts w:ascii="Verdana" w:eastAsia="Verdana" w:hAnsi="Verdana" w:cs="Verdana"/>
                <w:sz w:val="18"/>
                <w:szCs w:val="18"/>
              </w:rPr>
              <w:t> </w:t>
            </w:r>
          </w:p>
        </w:tc>
        <w:tc>
          <w:tcPr>
            <w:tcW w:w="5213" w:type="dxa"/>
            <w:vMerge/>
            <w:tcBorders>
              <w:top w:val="nil"/>
              <w:left w:val="single" w:sz="6" w:space="0" w:color="FFFFFF"/>
              <w:bottom w:val="single" w:sz="6" w:space="0" w:color="FFFFFF"/>
              <w:right w:val="single" w:sz="6" w:space="0" w:color="FFFFFF"/>
            </w:tcBorders>
            <w:vAlign w:val="center"/>
            <w:hideMark/>
          </w:tcPr>
          <w:p w14:paraId="10DF50F5" w14:textId="77777777" w:rsidR="000F170C" w:rsidRPr="00DE79CB" w:rsidRDefault="000F170C" w:rsidP="004E7734">
            <w:pPr>
              <w:spacing w:after="0" w:line="240" w:lineRule="auto"/>
              <w:rPr>
                <w:rFonts w:ascii="Verdana" w:eastAsia="Verdana" w:hAnsi="Verdana" w:cs="Verdana"/>
                <w:sz w:val="18"/>
                <w:szCs w:val="18"/>
              </w:rPr>
            </w:pPr>
          </w:p>
        </w:tc>
      </w:tr>
      <w:tr w:rsidR="000F170C" w:rsidRPr="00DE79CB" w14:paraId="04EA2711" w14:textId="77777777" w:rsidTr="004E7734">
        <w:trPr>
          <w:trHeight w:val="225"/>
        </w:trPr>
        <w:tc>
          <w:tcPr>
            <w:tcW w:w="1264" w:type="dxa"/>
            <w:vMerge/>
            <w:tcBorders>
              <w:top w:val="nil"/>
              <w:left w:val="single" w:sz="6" w:space="0" w:color="FFFFFF"/>
              <w:bottom w:val="single" w:sz="6" w:space="0" w:color="FFFFFF"/>
              <w:right w:val="single" w:sz="6" w:space="0" w:color="FFFFFF"/>
            </w:tcBorders>
            <w:vAlign w:val="center"/>
            <w:hideMark/>
          </w:tcPr>
          <w:p w14:paraId="1F2ED29E" w14:textId="77777777" w:rsidR="000F170C" w:rsidRPr="00DE79CB" w:rsidRDefault="000F170C" w:rsidP="004E7734">
            <w:pPr>
              <w:spacing w:after="0" w:line="240" w:lineRule="auto"/>
              <w:rPr>
                <w:rFonts w:ascii="Verdana" w:eastAsia="Verdana" w:hAnsi="Verdana" w:cs="Verdana"/>
                <w:sz w:val="18"/>
                <w:szCs w:val="18"/>
              </w:rPr>
            </w:pPr>
          </w:p>
        </w:tc>
        <w:tc>
          <w:tcPr>
            <w:tcW w:w="863" w:type="dxa"/>
            <w:vMerge/>
            <w:tcBorders>
              <w:top w:val="nil"/>
              <w:left w:val="single" w:sz="6" w:space="0" w:color="FFFFFF"/>
              <w:bottom w:val="single" w:sz="6" w:space="0" w:color="FFFFFF"/>
              <w:right w:val="single" w:sz="6" w:space="0" w:color="FFFFFF"/>
            </w:tcBorders>
            <w:vAlign w:val="center"/>
            <w:hideMark/>
          </w:tcPr>
          <w:p w14:paraId="6252B2AA" w14:textId="77777777" w:rsidR="000F170C" w:rsidRPr="00DE79CB" w:rsidRDefault="000F170C" w:rsidP="004E7734">
            <w:pPr>
              <w:spacing w:after="0" w:line="240" w:lineRule="auto"/>
              <w:rPr>
                <w:rFonts w:ascii="Verdana" w:eastAsia="Verdana" w:hAnsi="Verdana" w:cs="Verdana"/>
                <w:sz w:val="18"/>
                <w:szCs w:val="18"/>
              </w:rPr>
            </w:pPr>
          </w:p>
        </w:tc>
        <w:tc>
          <w:tcPr>
            <w:tcW w:w="1732" w:type="dxa"/>
            <w:tcBorders>
              <w:top w:val="nil"/>
              <w:left w:val="nil"/>
              <w:bottom w:val="single" w:sz="6" w:space="0" w:color="FFFFFF"/>
              <w:right w:val="single" w:sz="6" w:space="0" w:color="FFFFFF"/>
            </w:tcBorders>
            <w:shd w:val="clear" w:color="auto" w:fill="D9D9D9"/>
            <w:vAlign w:val="center"/>
            <w:hideMark/>
          </w:tcPr>
          <w:p w14:paraId="199D179A" w14:textId="77777777"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Dairy</w:t>
            </w:r>
            <w:proofErr w:type="spellEnd"/>
            <w:r w:rsidRPr="00DE79CB">
              <w:rPr>
                <w:rFonts w:ascii="Verdana" w:eastAsia="Verdana" w:hAnsi="Verdana" w:cs="Verdana"/>
                <w:sz w:val="18"/>
                <w:szCs w:val="18"/>
              </w:rPr>
              <w:t> </w:t>
            </w:r>
          </w:p>
        </w:tc>
        <w:tc>
          <w:tcPr>
            <w:tcW w:w="5213" w:type="dxa"/>
            <w:vMerge/>
            <w:tcBorders>
              <w:top w:val="nil"/>
              <w:left w:val="single" w:sz="6" w:space="0" w:color="FFFFFF"/>
              <w:bottom w:val="single" w:sz="6" w:space="0" w:color="FFFFFF"/>
              <w:right w:val="single" w:sz="6" w:space="0" w:color="FFFFFF"/>
            </w:tcBorders>
            <w:vAlign w:val="center"/>
            <w:hideMark/>
          </w:tcPr>
          <w:p w14:paraId="3A9F1B61" w14:textId="77777777" w:rsidR="000F170C" w:rsidRPr="00DE79CB" w:rsidRDefault="000F170C" w:rsidP="004E7734">
            <w:pPr>
              <w:spacing w:after="0" w:line="240" w:lineRule="auto"/>
              <w:rPr>
                <w:rFonts w:ascii="Verdana" w:eastAsia="Verdana" w:hAnsi="Verdana" w:cs="Verdana"/>
                <w:sz w:val="18"/>
                <w:szCs w:val="18"/>
              </w:rPr>
            </w:pPr>
          </w:p>
        </w:tc>
      </w:tr>
      <w:tr w:rsidR="000F170C" w:rsidRPr="00DE79CB" w14:paraId="71D29645" w14:textId="77777777" w:rsidTr="004E7734">
        <w:trPr>
          <w:trHeight w:val="225"/>
        </w:trPr>
        <w:tc>
          <w:tcPr>
            <w:tcW w:w="1264" w:type="dxa"/>
            <w:vMerge w:val="restart"/>
            <w:tcBorders>
              <w:top w:val="nil"/>
              <w:left w:val="single" w:sz="6" w:space="0" w:color="FFFFFF"/>
              <w:bottom w:val="single" w:sz="6" w:space="0" w:color="FFFFFF"/>
              <w:right w:val="single" w:sz="6" w:space="0" w:color="FFFFFF"/>
            </w:tcBorders>
            <w:shd w:val="clear" w:color="auto" w:fill="E8E8E8"/>
            <w:vAlign w:val="center"/>
            <w:hideMark/>
          </w:tcPr>
          <w:p w14:paraId="25E96DF3"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Senegal </w:t>
            </w:r>
          </w:p>
        </w:tc>
        <w:tc>
          <w:tcPr>
            <w:tcW w:w="863" w:type="dxa"/>
            <w:vMerge w:val="restart"/>
            <w:tcBorders>
              <w:top w:val="nil"/>
              <w:left w:val="single" w:sz="6" w:space="0" w:color="FFFFFF"/>
              <w:bottom w:val="single" w:sz="6" w:space="0" w:color="FFFFFF"/>
              <w:right w:val="single" w:sz="6" w:space="0" w:color="FFFFFF"/>
            </w:tcBorders>
            <w:shd w:val="clear" w:color="auto" w:fill="E8E8E8"/>
            <w:vAlign w:val="center"/>
            <w:hideMark/>
          </w:tcPr>
          <w:p w14:paraId="072BD4A7" w14:textId="31CA0763"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Agri</w:t>
            </w:r>
            <w:r w:rsidR="00A652E0" w:rsidRPr="00DE79CB">
              <w:rPr>
                <w:rFonts w:ascii="Verdana" w:eastAsia="Verdana" w:hAnsi="Verdana" w:cs="Verdana"/>
                <w:sz w:val="18"/>
                <w:szCs w:val="18"/>
              </w:rPr>
              <w:t>culture</w:t>
            </w:r>
            <w:proofErr w:type="spellEnd"/>
            <w:r w:rsidRPr="00DE79CB">
              <w:rPr>
                <w:rFonts w:ascii="Verdana" w:eastAsia="Verdana" w:hAnsi="Verdana" w:cs="Verdana"/>
                <w:sz w:val="18"/>
                <w:szCs w:val="18"/>
              </w:rPr>
              <w:t> </w:t>
            </w:r>
          </w:p>
        </w:tc>
        <w:tc>
          <w:tcPr>
            <w:tcW w:w="1732" w:type="dxa"/>
            <w:tcBorders>
              <w:top w:val="nil"/>
              <w:left w:val="nil"/>
              <w:bottom w:val="single" w:sz="6" w:space="0" w:color="FFFFFF"/>
              <w:right w:val="single" w:sz="6" w:space="0" w:color="FFFFFF"/>
            </w:tcBorders>
            <w:shd w:val="clear" w:color="auto" w:fill="E8E8E8"/>
            <w:vAlign w:val="center"/>
            <w:hideMark/>
          </w:tcPr>
          <w:p w14:paraId="3789C82F"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Cashew </w:t>
            </w:r>
          </w:p>
        </w:tc>
        <w:tc>
          <w:tcPr>
            <w:tcW w:w="5213" w:type="dxa"/>
            <w:tcBorders>
              <w:top w:val="nil"/>
              <w:left w:val="nil"/>
              <w:bottom w:val="single" w:sz="6" w:space="0" w:color="FFFFFF"/>
              <w:right w:val="single" w:sz="6" w:space="0" w:color="FFFFFF"/>
            </w:tcBorders>
            <w:shd w:val="clear" w:color="auto" w:fill="E8E8E8"/>
            <w:vAlign w:val="bottom"/>
            <w:hideMark/>
          </w:tcPr>
          <w:p w14:paraId="3BD191C9" w14:textId="77777777" w:rsidR="000F170C" w:rsidRPr="00DE79CB" w:rsidRDefault="000F170C"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Focus on cooperatives, region: North or South </w:t>
            </w:r>
          </w:p>
        </w:tc>
      </w:tr>
      <w:tr w:rsidR="000F170C" w:rsidRPr="00DE79CB" w14:paraId="3A37559E" w14:textId="77777777" w:rsidTr="004E7734">
        <w:trPr>
          <w:trHeight w:val="225"/>
        </w:trPr>
        <w:tc>
          <w:tcPr>
            <w:tcW w:w="1264" w:type="dxa"/>
            <w:vMerge/>
            <w:tcBorders>
              <w:top w:val="nil"/>
              <w:left w:val="single" w:sz="6" w:space="0" w:color="FFFFFF"/>
              <w:bottom w:val="single" w:sz="6" w:space="0" w:color="FFFFFF"/>
              <w:right w:val="single" w:sz="6" w:space="0" w:color="FFFFFF"/>
            </w:tcBorders>
            <w:vAlign w:val="center"/>
            <w:hideMark/>
          </w:tcPr>
          <w:p w14:paraId="36DBD57F" w14:textId="77777777" w:rsidR="000F170C" w:rsidRPr="00DE79CB" w:rsidRDefault="000F170C" w:rsidP="004E7734">
            <w:pPr>
              <w:spacing w:after="0" w:line="240" w:lineRule="auto"/>
              <w:rPr>
                <w:rFonts w:ascii="Verdana" w:eastAsia="Verdana" w:hAnsi="Verdana" w:cs="Verdana"/>
                <w:sz w:val="18"/>
                <w:szCs w:val="18"/>
                <w:lang w:val="en-US"/>
              </w:rPr>
            </w:pPr>
          </w:p>
        </w:tc>
        <w:tc>
          <w:tcPr>
            <w:tcW w:w="863" w:type="dxa"/>
            <w:vMerge/>
            <w:tcBorders>
              <w:top w:val="nil"/>
              <w:left w:val="single" w:sz="6" w:space="0" w:color="FFFFFF"/>
              <w:bottom w:val="single" w:sz="6" w:space="0" w:color="FFFFFF"/>
              <w:right w:val="single" w:sz="6" w:space="0" w:color="FFFFFF"/>
            </w:tcBorders>
            <w:vAlign w:val="center"/>
            <w:hideMark/>
          </w:tcPr>
          <w:p w14:paraId="2A9A2980" w14:textId="77777777" w:rsidR="000F170C" w:rsidRPr="00DE79CB" w:rsidRDefault="000F170C" w:rsidP="004E7734">
            <w:pPr>
              <w:spacing w:after="0" w:line="240" w:lineRule="auto"/>
              <w:rPr>
                <w:rFonts w:ascii="Verdana" w:eastAsia="Verdana" w:hAnsi="Verdana" w:cs="Verdana"/>
                <w:sz w:val="18"/>
                <w:szCs w:val="18"/>
                <w:lang w:val="en-US"/>
              </w:rPr>
            </w:pPr>
          </w:p>
        </w:tc>
        <w:tc>
          <w:tcPr>
            <w:tcW w:w="1732" w:type="dxa"/>
            <w:tcBorders>
              <w:top w:val="nil"/>
              <w:left w:val="nil"/>
              <w:bottom w:val="single" w:sz="6" w:space="0" w:color="FFFFFF"/>
              <w:right w:val="single" w:sz="6" w:space="0" w:color="FFFFFF"/>
            </w:tcBorders>
            <w:shd w:val="clear" w:color="auto" w:fill="E8E8E8"/>
            <w:vAlign w:val="center"/>
            <w:hideMark/>
          </w:tcPr>
          <w:p w14:paraId="7736EE76" w14:textId="2185CD7B"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Horti</w:t>
            </w:r>
            <w:r w:rsidR="00A652E0" w:rsidRPr="00DE79CB">
              <w:rPr>
                <w:rFonts w:ascii="Verdana" w:eastAsia="Verdana" w:hAnsi="Verdana" w:cs="Verdana"/>
                <w:sz w:val="18"/>
                <w:szCs w:val="18"/>
              </w:rPr>
              <w:t>culture</w:t>
            </w:r>
            <w:proofErr w:type="spellEnd"/>
            <w:r w:rsidRPr="00DE79CB">
              <w:rPr>
                <w:rFonts w:ascii="Verdana" w:eastAsia="Verdana" w:hAnsi="Verdana" w:cs="Verdana"/>
                <w:sz w:val="18"/>
                <w:szCs w:val="18"/>
              </w:rPr>
              <w:t> </w:t>
            </w:r>
          </w:p>
        </w:tc>
        <w:tc>
          <w:tcPr>
            <w:tcW w:w="5213" w:type="dxa"/>
            <w:tcBorders>
              <w:top w:val="nil"/>
              <w:left w:val="nil"/>
              <w:bottom w:val="single" w:sz="6" w:space="0" w:color="FFFFFF"/>
              <w:right w:val="single" w:sz="6" w:space="0" w:color="FFFFFF"/>
            </w:tcBorders>
            <w:shd w:val="clear" w:color="auto" w:fill="E8E8E8"/>
            <w:vAlign w:val="bottom"/>
            <w:hideMark/>
          </w:tcPr>
          <w:p w14:paraId="11671257" w14:textId="1E0E9142" w:rsidR="000F170C" w:rsidRPr="00DE79CB" w:rsidRDefault="000F170C"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Focus on working conditions, </w:t>
            </w:r>
            <w:proofErr w:type="spellStart"/>
            <w:r w:rsidRPr="00DE79CB">
              <w:rPr>
                <w:rFonts w:ascii="Verdana" w:eastAsia="Verdana" w:hAnsi="Verdana" w:cs="Verdana"/>
                <w:sz w:val="18"/>
                <w:szCs w:val="18"/>
                <w:lang w:val="en-US"/>
              </w:rPr>
              <w:t>formalisation</w:t>
            </w:r>
            <w:proofErr w:type="spellEnd"/>
            <w:r w:rsidRPr="00DE79CB">
              <w:rPr>
                <w:rFonts w:ascii="Verdana" w:eastAsia="Verdana" w:hAnsi="Verdana" w:cs="Verdana"/>
                <w:sz w:val="18"/>
                <w:szCs w:val="18"/>
                <w:lang w:val="en-US"/>
              </w:rPr>
              <w:t>, female em</w:t>
            </w:r>
            <w:r w:rsidR="00A652E0" w:rsidRPr="00DE79CB">
              <w:rPr>
                <w:rFonts w:ascii="Verdana" w:eastAsia="Verdana" w:hAnsi="Verdana" w:cs="Verdana"/>
                <w:sz w:val="18"/>
                <w:szCs w:val="18"/>
                <w:lang w:val="en-US"/>
              </w:rPr>
              <w:t>p</w:t>
            </w:r>
            <w:r w:rsidRPr="00DE79CB">
              <w:rPr>
                <w:rFonts w:ascii="Verdana" w:eastAsia="Verdana" w:hAnsi="Verdana" w:cs="Verdana"/>
                <w:sz w:val="18"/>
                <w:szCs w:val="18"/>
                <w:lang w:val="en-US"/>
              </w:rPr>
              <w:t>o</w:t>
            </w:r>
            <w:r w:rsidR="00A652E0" w:rsidRPr="00DE79CB">
              <w:rPr>
                <w:rFonts w:ascii="Verdana" w:eastAsia="Verdana" w:hAnsi="Verdana" w:cs="Verdana"/>
                <w:sz w:val="18"/>
                <w:szCs w:val="18"/>
                <w:lang w:val="en-US"/>
              </w:rPr>
              <w:t>w</w:t>
            </w:r>
            <w:r w:rsidRPr="00DE79CB">
              <w:rPr>
                <w:rFonts w:ascii="Verdana" w:eastAsia="Verdana" w:hAnsi="Verdana" w:cs="Verdana"/>
                <w:sz w:val="18"/>
                <w:szCs w:val="18"/>
                <w:lang w:val="en-US"/>
              </w:rPr>
              <w:t>erment and responsible procurement; region: North or South </w:t>
            </w:r>
          </w:p>
        </w:tc>
      </w:tr>
      <w:tr w:rsidR="000F170C" w:rsidRPr="00DE79CB" w14:paraId="4BC74D30" w14:textId="77777777" w:rsidTr="004E7734">
        <w:trPr>
          <w:trHeight w:val="450"/>
        </w:trPr>
        <w:tc>
          <w:tcPr>
            <w:tcW w:w="1264" w:type="dxa"/>
            <w:vMerge w:val="restart"/>
            <w:tcBorders>
              <w:top w:val="nil"/>
              <w:left w:val="single" w:sz="6" w:space="0" w:color="FFFFFF"/>
              <w:bottom w:val="single" w:sz="6" w:space="0" w:color="FFFFFF"/>
              <w:right w:val="single" w:sz="6" w:space="0" w:color="FFFFFF"/>
            </w:tcBorders>
            <w:shd w:val="clear" w:color="auto" w:fill="D9D9D9"/>
            <w:vAlign w:val="center"/>
            <w:hideMark/>
          </w:tcPr>
          <w:p w14:paraId="77DC6935"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South-</w:t>
            </w:r>
            <w:proofErr w:type="spellStart"/>
            <w:r w:rsidRPr="00DE79CB">
              <w:rPr>
                <w:rFonts w:ascii="Verdana" w:eastAsia="Verdana" w:hAnsi="Verdana" w:cs="Verdana"/>
                <w:sz w:val="18"/>
                <w:szCs w:val="18"/>
              </w:rPr>
              <w:t>Africa</w:t>
            </w:r>
            <w:proofErr w:type="spellEnd"/>
            <w:r w:rsidRPr="00DE79CB">
              <w:rPr>
                <w:rFonts w:ascii="Verdana" w:eastAsia="Verdana" w:hAnsi="Verdana" w:cs="Verdana"/>
                <w:sz w:val="18"/>
                <w:szCs w:val="18"/>
              </w:rPr>
              <w:t> </w:t>
            </w:r>
          </w:p>
        </w:tc>
        <w:tc>
          <w:tcPr>
            <w:tcW w:w="863" w:type="dxa"/>
            <w:tcBorders>
              <w:top w:val="nil"/>
              <w:left w:val="nil"/>
              <w:bottom w:val="single" w:sz="6" w:space="0" w:color="FFFFFF"/>
              <w:right w:val="single" w:sz="6" w:space="0" w:color="FFFFFF"/>
            </w:tcBorders>
            <w:shd w:val="clear" w:color="auto" w:fill="D9D9D9"/>
            <w:vAlign w:val="center"/>
            <w:hideMark/>
          </w:tcPr>
          <w:p w14:paraId="5DBD1C26" w14:textId="51A5FA4F"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Agri</w:t>
            </w:r>
            <w:r w:rsidR="00A652E0" w:rsidRPr="00DE79CB">
              <w:rPr>
                <w:rFonts w:ascii="Verdana" w:eastAsia="Verdana" w:hAnsi="Verdana" w:cs="Verdana"/>
                <w:sz w:val="18"/>
                <w:szCs w:val="18"/>
              </w:rPr>
              <w:t>culture</w:t>
            </w:r>
            <w:proofErr w:type="spellEnd"/>
            <w:r w:rsidRPr="00DE79CB">
              <w:rPr>
                <w:rFonts w:ascii="Verdana" w:eastAsia="Verdana" w:hAnsi="Verdana" w:cs="Verdana"/>
                <w:sz w:val="18"/>
                <w:szCs w:val="18"/>
              </w:rPr>
              <w:t> </w:t>
            </w:r>
          </w:p>
        </w:tc>
        <w:tc>
          <w:tcPr>
            <w:tcW w:w="1732" w:type="dxa"/>
            <w:tcBorders>
              <w:top w:val="nil"/>
              <w:left w:val="nil"/>
              <w:bottom w:val="single" w:sz="6" w:space="0" w:color="FFFFFF"/>
              <w:right w:val="single" w:sz="6" w:space="0" w:color="FFFFFF"/>
            </w:tcBorders>
            <w:shd w:val="clear" w:color="auto" w:fill="D9D9D9"/>
            <w:vAlign w:val="center"/>
            <w:hideMark/>
          </w:tcPr>
          <w:p w14:paraId="3AEDCE6C" w14:textId="5E433149"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Horti</w:t>
            </w:r>
            <w:r w:rsidR="00A652E0" w:rsidRPr="00DE79CB">
              <w:rPr>
                <w:rFonts w:ascii="Verdana" w:eastAsia="Verdana" w:hAnsi="Verdana" w:cs="Verdana"/>
                <w:sz w:val="18"/>
                <w:szCs w:val="18"/>
              </w:rPr>
              <w:t>culture</w:t>
            </w:r>
            <w:proofErr w:type="spellEnd"/>
            <w:r w:rsidRPr="00DE79CB">
              <w:rPr>
                <w:rFonts w:ascii="Verdana" w:eastAsia="Verdana" w:hAnsi="Verdana" w:cs="Verdana"/>
                <w:sz w:val="18"/>
                <w:szCs w:val="18"/>
              </w:rPr>
              <w:t> </w:t>
            </w:r>
          </w:p>
        </w:tc>
        <w:tc>
          <w:tcPr>
            <w:tcW w:w="5213" w:type="dxa"/>
            <w:tcBorders>
              <w:top w:val="nil"/>
              <w:left w:val="nil"/>
              <w:bottom w:val="single" w:sz="6" w:space="0" w:color="FFFFFF"/>
              <w:right w:val="single" w:sz="6" w:space="0" w:color="FFFFFF"/>
            </w:tcBorders>
            <w:shd w:val="clear" w:color="auto" w:fill="D9D9D9"/>
            <w:vAlign w:val="bottom"/>
            <w:hideMark/>
          </w:tcPr>
          <w:p w14:paraId="5014DF4C" w14:textId="27606B73" w:rsidR="000F170C" w:rsidRPr="00DE79CB" w:rsidRDefault="000F170C"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 xml:space="preserve">Climate change mitigation and adaptation, fresh water, biodiversity, carbon emissions, </w:t>
            </w:r>
            <w:r w:rsidR="00A652E0" w:rsidRPr="00DE79CB">
              <w:rPr>
                <w:rFonts w:ascii="Verdana" w:eastAsia="Verdana" w:hAnsi="Verdana" w:cs="Verdana"/>
                <w:sz w:val="18"/>
                <w:szCs w:val="18"/>
                <w:lang w:val="en-US"/>
              </w:rPr>
              <w:t>living wage/income</w:t>
            </w:r>
            <w:r w:rsidRPr="00DE79CB">
              <w:rPr>
                <w:rFonts w:ascii="Verdana" w:eastAsia="Verdana" w:hAnsi="Verdana" w:cs="Verdana"/>
                <w:sz w:val="18"/>
                <w:szCs w:val="18"/>
                <w:lang w:val="en-US"/>
              </w:rPr>
              <w:t>, corruption </w:t>
            </w:r>
          </w:p>
        </w:tc>
      </w:tr>
      <w:tr w:rsidR="00A652E0" w:rsidRPr="00DE79CB" w14:paraId="6D3F414E" w14:textId="77777777" w:rsidTr="0056180A">
        <w:trPr>
          <w:trHeight w:val="225"/>
        </w:trPr>
        <w:tc>
          <w:tcPr>
            <w:tcW w:w="1264" w:type="dxa"/>
            <w:vMerge/>
            <w:tcBorders>
              <w:top w:val="nil"/>
              <w:left w:val="single" w:sz="6" w:space="0" w:color="FFFFFF"/>
              <w:bottom w:val="single" w:sz="6" w:space="0" w:color="FFFFFF"/>
              <w:right w:val="single" w:sz="6" w:space="0" w:color="FFFFFF"/>
            </w:tcBorders>
            <w:vAlign w:val="center"/>
            <w:hideMark/>
          </w:tcPr>
          <w:p w14:paraId="37E8F777" w14:textId="77777777" w:rsidR="00A652E0" w:rsidRPr="00DE79CB" w:rsidRDefault="00A652E0" w:rsidP="004E7734">
            <w:pPr>
              <w:spacing w:after="0" w:line="240" w:lineRule="auto"/>
              <w:rPr>
                <w:rFonts w:ascii="Verdana" w:eastAsia="Verdana" w:hAnsi="Verdana" w:cs="Verdana"/>
                <w:sz w:val="18"/>
                <w:szCs w:val="18"/>
                <w:lang w:val="en-US"/>
              </w:rPr>
            </w:pPr>
          </w:p>
        </w:tc>
        <w:tc>
          <w:tcPr>
            <w:tcW w:w="863" w:type="dxa"/>
            <w:vMerge w:val="restart"/>
            <w:tcBorders>
              <w:top w:val="nil"/>
              <w:left w:val="single" w:sz="6" w:space="0" w:color="FFFFFF"/>
              <w:bottom w:val="single" w:sz="6" w:space="0" w:color="FFFFFF"/>
              <w:right w:val="single" w:sz="6" w:space="0" w:color="FFFFFF"/>
            </w:tcBorders>
            <w:shd w:val="clear" w:color="auto" w:fill="D9D9D9"/>
            <w:vAlign w:val="center"/>
            <w:hideMark/>
          </w:tcPr>
          <w:p w14:paraId="7F6A5F93" w14:textId="77777777" w:rsidR="00A652E0" w:rsidRPr="00DE79CB" w:rsidRDefault="00A652E0"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CRM </w:t>
            </w:r>
          </w:p>
        </w:tc>
        <w:tc>
          <w:tcPr>
            <w:tcW w:w="1732" w:type="dxa"/>
            <w:tcBorders>
              <w:top w:val="nil"/>
              <w:left w:val="nil"/>
              <w:bottom w:val="single" w:sz="6" w:space="0" w:color="FFFFFF"/>
              <w:right w:val="single" w:sz="6" w:space="0" w:color="FFFFFF"/>
            </w:tcBorders>
            <w:shd w:val="clear" w:color="auto" w:fill="D9D9D9"/>
            <w:vAlign w:val="center"/>
            <w:hideMark/>
          </w:tcPr>
          <w:p w14:paraId="2EE19851" w14:textId="179A78F8" w:rsidR="00A652E0" w:rsidRPr="00DE79CB" w:rsidRDefault="00A652E0"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Manganese</w:t>
            </w:r>
            <w:proofErr w:type="spellEnd"/>
            <w:r w:rsidRPr="00DE79CB">
              <w:rPr>
                <w:rFonts w:ascii="Verdana" w:eastAsia="Verdana" w:hAnsi="Verdana" w:cs="Verdana"/>
                <w:sz w:val="18"/>
                <w:szCs w:val="18"/>
              </w:rPr>
              <w:t> (PMG)</w:t>
            </w:r>
          </w:p>
        </w:tc>
        <w:tc>
          <w:tcPr>
            <w:tcW w:w="5213" w:type="dxa"/>
            <w:vMerge w:val="restart"/>
            <w:tcBorders>
              <w:top w:val="nil"/>
              <w:left w:val="nil"/>
              <w:right w:val="single" w:sz="6" w:space="0" w:color="FFFFFF"/>
            </w:tcBorders>
            <w:shd w:val="clear" w:color="auto" w:fill="D9D9D9"/>
            <w:vAlign w:val="bottom"/>
            <w:hideMark/>
          </w:tcPr>
          <w:p w14:paraId="03753AA4" w14:textId="588A5E19" w:rsidR="00A652E0" w:rsidRPr="00DE79CB" w:rsidRDefault="00A652E0" w:rsidP="00A652E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Water–mining nexus, ESG standards, reduced negative environmental and social impact, local capacity building for sustainable value chains, transport and logistics</w:t>
            </w:r>
          </w:p>
          <w:p w14:paraId="1F9D3677" w14:textId="4357595B" w:rsidR="00A652E0" w:rsidRPr="00DE79CB" w:rsidRDefault="00A652E0"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  </w:t>
            </w:r>
          </w:p>
        </w:tc>
      </w:tr>
      <w:tr w:rsidR="00A652E0" w:rsidRPr="00DE79CB" w14:paraId="0E60CE90" w14:textId="77777777" w:rsidTr="0056180A">
        <w:trPr>
          <w:trHeight w:val="675"/>
        </w:trPr>
        <w:tc>
          <w:tcPr>
            <w:tcW w:w="1264" w:type="dxa"/>
            <w:vMerge/>
            <w:tcBorders>
              <w:top w:val="nil"/>
              <w:left w:val="single" w:sz="6" w:space="0" w:color="FFFFFF"/>
              <w:bottom w:val="single" w:sz="6" w:space="0" w:color="FFFFFF"/>
              <w:right w:val="single" w:sz="6" w:space="0" w:color="FFFFFF"/>
            </w:tcBorders>
            <w:vAlign w:val="center"/>
            <w:hideMark/>
          </w:tcPr>
          <w:p w14:paraId="2EB93184" w14:textId="77777777" w:rsidR="00A652E0" w:rsidRPr="00DE79CB" w:rsidRDefault="00A652E0" w:rsidP="004E7734">
            <w:pPr>
              <w:spacing w:after="0" w:line="240" w:lineRule="auto"/>
              <w:rPr>
                <w:rFonts w:ascii="Verdana" w:eastAsia="Verdana" w:hAnsi="Verdana" w:cs="Verdana"/>
                <w:sz w:val="18"/>
                <w:szCs w:val="18"/>
              </w:rPr>
            </w:pPr>
          </w:p>
        </w:tc>
        <w:tc>
          <w:tcPr>
            <w:tcW w:w="863" w:type="dxa"/>
            <w:vMerge/>
            <w:tcBorders>
              <w:top w:val="nil"/>
              <w:left w:val="single" w:sz="6" w:space="0" w:color="FFFFFF"/>
              <w:bottom w:val="single" w:sz="6" w:space="0" w:color="FFFFFF"/>
              <w:right w:val="single" w:sz="6" w:space="0" w:color="FFFFFF"/>
            </w:tcBorders>
            <w:vAlign w:val="center"/>
            <w:hideMark/>
          </w:tcPr>
          <w:p w14:paraId="11AD6940" w14:textId="77777777" w:rsidR="00A652E0" w:rsidRPr="00DE79CB" w:rsidRDefault="00A652E0" w:rsidP="004E7734">
            <w:pPr>
              <w:spacing w:after="0" w:line="240" w:lineRule="auto"/>
              <w:rPr>
                <w:rFonts w:ascii="Verdana" w:eastAsia="Verdana" w:hAnsi="Verdana" w:cs="Verdana"/>
                <w:sz w:val="18"/>
                <w:szCs w:val="18"/>
              </w:rPr>
            </w:pPr>
          </w:p>
        </w:tc>
        <w:tc>
          <w:tcPr>
            <w:tcW w:w="1732" w:type="dxa"/>
            <w:tcBorders>
              <w:top w:val="nil"/>
              <w:left w:val="nil"/>
              <w:bottom w:val="single" w:sz="6" w:space="0" w:color="FFFFFF"/>
              <w:right w:val="single" w:sz="6" w:space="0" w:color="FFFFFF"/>
            </w:tcBorders>
            <w:shd w:val="clear" w:color="auto" w:fill="D9D9D9"/>
            <w:vAlign w:val="center"/>
            <w:hideMark/>
          </w:tcPr>
          <w:p w14:paraId="44AB7CFD" w14:textId="4F48CFC8" w:rsidR="00A652E0" w:rsidRPr="00DE79CB" w:rsidRDefault="00A652E0"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Platium</w:t>
            </w:r>
            <w:proofErr w:type="spellEnd"/>
            <w:r w:rsidRPr="00DE79CB">
              <w:rPr>
                <w:rFonts w:ascii="Verdana" w:eastAsia="Verdana" w:hAnsi="Verdana" w:cs="Verdana"/>
                <w:sz w:val="18"/>
                <w:szCs w:val="18"/>
              </w:rPr>
              <w:t xml:space="preserve"> (PMG)</w:t>
            </w:r>
          </w:p>
        </w:tc>
        <w:tc>
          <w:tcPr>
            <w:tcW w:w="5213" w:type="dxa"/>
            <w:vMerge/>
            <w:tcBorders>
              <w:left w:val="nil"/>
              <w:bottom w:val="single" w:sz="6" w:space="0" w:color="FFFFFF"/>
              <w:right w:val="single" w:sz="6" w:space="0" w:color="FFFFFF"/>
            </w:tcBorders>
            <w:shd w:val="clear" w:color="auto" w:fill="D9D9D9"/>
            <w:vAlign w:val="bottom"/>
            <w:hideMark/>
          </w:tcPr>
          <w:p w14:paraId="01E6CD5B" w14:textId="51CBC801" w:rsidR="00A652E0" w:rsidRPr="00DE79CB" w:rsidRDefault="00A652E0" w:rsidP="004E7734">
            <w:pPr>
              <w:spacing w:after="0" w:line="240" w:lineRule="auto"/>
              <w:rPr>
                <w:rFonts w:ascii="Verdana" w:eastAsia="Verdana" w:hAnsi="Verdana" w:cs="Verdana"/>
                <w:sz w:val="18"/>
                <w:szCs w:val="18"/>
              </w:rPr>
            </w:pPr>
          </w:p>
        </w:tc>
      </w:tr>
      <w:tr w:rsidR="000F170C" w:rsidRPr="00DE79CB" w14:paraId="64D57B4D" w14:textId="77777777" w:rsidTr="004E7734">
        <w:trPr>
          <w:trHeight w:val="225"/>
        </w:trPr>
        <w:tc>
          <w:tcPr>
            <w:tcW w:w="1264" w:type="dxa"/>
            <w:tcBorders>
              <w:top w:val="nil"/>
              <w:left w:val="single" w:sz="6" w:space="0" w:color="FFFFFF"/>
              <w:bottom w:val="single" w:sz="6" w:space="0" w:color="FFFFFF"/>
              <w:right w:val="single" w:sz="6" w:space="0" w:color="FFFFFF"/>
            </w:tcBorders>
            <w:shd w:val="clear" w:color="auto" w:fill="E8E8E8"/>
            <w:vAlign w:val="center"/>
            <w:hideMark/>
          </w:tcPr>
          <w:p w14:paraId="32E12E20" w14:textId="77777777"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Tunesia</w:t>
            </w:r>
            <w:proofErr w:type="spellEnd"/>
            <w:r w:rsidRPr="00DE79CB">
              <w:rPr>
                <w:rFonts w:ascii="Verdana" w:eastAsia="Verdana" w:hAnsi="Verdana" w:cs="Verdana"/>
                <w:sz w:val="18"/>
                <w:szCs w:val="18"/>
              </w:rPr>
              <w:t> </w:t>
            </w:r>
          </w:p>
        </w:tc>
        <w:tc>
          <w:tcPr>
            <w:tcW w:w="863" w:type="dxa"/>
            <w:tcBorders>
              <w:top w:val="nil"/>
              <w:left w:val="nil"/>
              <w:bottom w:val="single" w:sz="6" w:space="0" w:color="FFFFFF"/>
              <w:right w:val="single" w:sz="6" w:space="0" w:color="FFFFFF"/>
            </w:tcBorders>
            <w:shd w:val="clear" w:color="auto" w:fill="E8E8E8"/>
            <w:vAlign w:val="center"/>
            <w:hideMark/>
          </w:tcPr>
          <w:p w14:paraId="03B35ADE" w14:textId="3757F84F" w:rsidR="000F170C" w:rsidRPr="00DE79CB" w:rsidRDefault="00A652E0"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Agriculture</w:t>
            </w:r>
            <w:proofErr w:type="spellEnd"/>
            <w:r w:rsidRPr="00DE79CB">
              <w:rPr>
                <w:rFonts w:ascii="Verdana" w:eastAsia="Verdana" w:hAnsi="Verdana" w:cs="Verdana"/>
                <w:sz w:val="18"/>
                <w:szCs w:val="18"/>
              </w:rPr>
              <w:t xml:space="preserve"> </w:t>
            </w:r>
          </w:p>
        </w:tc>
        <w:tc>
          <w:tcPr>
            <w:tcW w:w="1732" w:type="dxa"/>
            <w:tcBorders>
              <w:top w:val="nil"/>
              <w:left w:val="nil"/>
              <w:bottom w:val="single" w:sz="6" w:space="0" w:color="FFFFFF"/>
              <w:right w:val="single" w:sz="6" w:space="0" w:color="FFFFFF"/>
            </w:tcBorders>
            <w:shd w:val="clear" w:color="auto" w:fill="E8E8E8"/>
            <w:vAlign w:val="center"/>
            <w:hideMark/>
          </w:tcPr>
          <w:p w14:paraId="12B1B6F1" w14:textId="7C6A972D" w:rsidR="000F170C" w:rsidRPr="00DE79CB" w:rsidRDefault="00A652E0"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Horticulture</w:t>
            </w:r>
            <w:proofErr w:type="spellEnd"/>
          </w:p>
        </w:tc>
        <w:tc>
          <w:tcPr>
            <w:tcW w:w="5213" w:type="dxa"/>
            <w:tcBorders>
              <w:top w:val="nil"/>
              <w:left w:val="nil"/>
              <w:bottom w:val="single" w:sz="6" w:space="0" w:color="FFFFFF"/>
              <w:right w:val="single" w:sz="6" w:space="0" w:color="FFFFFF"/>
            </w:tcBorders>
            <w:shd w:val="clear" w:color="auto" w:fill="E8E8E8"/>
            <w:vAlign w:val="bottom"/>
            <w:hideMark/>
          </w:tcPr>
          <w:p w14:paraId="46C3E92F" w14:textId="602D1FB9" w:rsidR="000F170C" w:rsidRPr="00DE79CB" w:rsidRDefault="00A652E0"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Youth/vocational training for the agricultural sector, working conditions</w:t>
            </w:r>
          </w:p>
        </w:tc>
      </w:tr>
      <w:tr w:rsidR="000F170C" w:rsidRPr="00DE79CB" w14:paraId="53B55ED4" w14:textId="77777777" w:rsidTr="004E7734">
        <w:trPr>
          <w:trHeight w:val="495"/>
        </w:trPr>
        <w:tc>
          <w:tcPr>
            <w:tcW w:w="1264" w:type="dxa"/>
            <w:vMerge w:val="restart"/>
            <w:tcBorders>
              <w:top w:val="nil"/>
              <w:left w:val="single" w:sz="6" w:space="0" w:color="FFFFFF"/>
              <w:bottom w:val="single" w:sz="6" w:space="0" w:color="FFFFFF"/>
              <w:right w:val="single" w:sz="6" w:space="0" w:color="FFFFFF"/>
            </w:tcBorders>
            <w:shd w:val="clear" w:color="auto" w:fill="D9D9D9"/>
            <w:vAlign w:val="center"/>
            <w:hideMark/>
          </w:tcPr>
          <w:p w14:paraId="6917E275"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Uganda </w:t>
            </w:r>
          </w:p>
        </w:tc>
        <w:tc>
          <w:tcPr>
            <w:tcW w:w="863" w:type="dxa"/>
            <w:vMerge w:val="restart"/>
            <w:tcBorders>
              <w:top w:val="nil"/>
              <w:left w:val="single" w:sz="6" w:space="0" w:color="FFFFFF"/>
              <w:bottom w:val="single" w:sz="6" w:space="0" w:color="FFFFFF"/>
              <w:right w:val="single" w:sz="6" w:space="0" w:color="FFFFFF"/>
            </w:tcBorders>
            <w:shd w:val="clear" w:color="auto" w:fill="D9D9D9"/>
            <w:vAlign w:val="center"/>
            <w:hideMark/>
          </w:tcPr>
          <w:p w14:paraId="54578A34" w14:textId="199417FB"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Agri</w:t>
            </w:r>
            <w:r w:rsidR="003721C0" w:rsidRPr="00DE79CB">
              <w:rPr>
                <w:rFonts w:ascii="Verdana" w:eastAsia="Verdana" w:hAnsi="Verdana" w:cs="Verdana"/>
                <w:sz w:val="18"/>
                <w:szCs w:val="18"/>
              </w:rPr>
              <w:t>culture</w:t>
            </w:r>
            <w:proofErr w:type="spellEnd"/>
            <w:r w:rsidRPr="00DE79CB">
              <w:rPr>
                <w:rFonts w:ascii="Verdana" w:eastAsia="Verdana" w:hAnsi="Verdana" w:cs="Verdana"/>
                <w:sz w:val="18"/>
                <w:szCs w:val="18"/>
              </w:rPr>
              <w:t> </w:t>
            </w:r>
          </w:p>
        </w:tc>
        <w:tc>
          <w:tcPr>
            <w:tcW w:w="1732" w:type="dxa"/>
            <w:tcBorders>
              <w:top w:val="nil"/>
              <w:left w:val="nil"/>
              <w:bottom w:val="single" w:sz="6" w:space="0" w:color="FFFFFF"/>
              <w:right w:val="single" w:sz="6" w:space="0" w:color="FFFFFF"/>
            </w:tcBorders>
            <w:shd w:val="clear" w:color="auto" w:fill="D9D9D9"/>
            <w:vAlign w:val="center"/>
            <w:hideMark/>
          </w:tcPr>
          <w:p w14:paraId="3D5DD5B7" w14:textId="2A277C81"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Horti</w:t>
            </w:r>
            <w:r w:rsidR="003721C0" w:rsidRPr="00DE79CB">
              <w:rPr>
                <w:rFonts w:ascii="Verdana" w:eastAsia="Verdana" w:hAnsi="Verdana" w:cs="Verdana"/>
                <w:sz w:val="18"/>
                <w:szCs w:val="18"/>
              </w:rPr>
              <w:t>culture</w:t>
            </w:r>
            <w:proofErr w:type="spellEnd"/>
            <w:r w:rsidRPr="00DE79CB">
              <w:rPr>
                <w:rFonts w:ascii="Verdana" w:eastAsia="Verdana" w:hAnsi="Verdana" w:cs="Verdana"/>
                <w:sz w:val="18"/>
                <w:szCs w:val="18"/>
              </w:rPr>
              <w:t> </w:t>
            </w:r>
          </w:p>
        </w:tc>
        <w:tc>
          <w:tcPr>
            <w:tcW w:w="5213" w:type="dxa"/>
            <w:vMerge w:val="restart"/>
            <w:tcBorders>
              <w:top w:val="nil"/>
              <w:left w:val="single" w:sz="6" w:space="0" w:color="FFFFFF"/>
              <w:bottom w:val="single" w:sz="6" w:space="0" w:color="FFFFFF"/>
              <w:right w:val="single" w:sz="6" w:space="0" w:color="FFFFFF"/>
            </w:tcBorders>
            <w:shd w:val="clear" w:color="auto" w:fill="D9D9D9"/>
            <w:hideMark/>
          </w:tcPr>
          <w:p w14:paraId="53DCABBD" w14:textId="4707536C" w:rsidR="000F170C" w:rsidRPr="00DE79CB" w:rsidRDefault="000F170C"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 xml:space="preserve">Food and nutrition security, water resources management, climate adaption and mitigation, smallholder farmer inclusion, pesticide reduction, </w:t>
            </w:r>
            <w:r w:rsidR="00AA3E3A" w:rsidRPr="00DE79CB">
              <w:rPr>
                <w:rFonts w:ascii="Verdana" w:eastAsia="Verdana" w:hAnsi="Verdana" w:cs="Verdana"/>
                <w:sz w:val="18"/>
                <w:szCs w:val="18"/>
                <w:lang w:val="en-US"/>
              </w:rPr>
              <w:t xml:space="preserve">living wage/income, child labor, </w:t>
            </w:r>
            <w:r w:rsidRPr="00DE79CB">
              <w:rPr>
                <w:rFonts w:ascii="Verdana" w:eastAsia="Verdana" w:hAnsi="Verdana" w:cs="Verdana"/>
                <w:sz w:val="18"/>
                <w:szCs w:val="18"/>
                <w:lang w:val="en-US"/>
              </w:rPr>
              <w:t>focus in Northern Corridor for horticulture </w:t>
            </w:r>
          </w:p>
        </w:tc>
      </w:tr>
      <w:tr w:rsidR="000F170C" w:rsidRPr="00DE79CB" w14:paraId="6D955FCC" w14:textId="77777777" w:rsidTr="004E7734">
        <w:trPr>
          <w:trHeight w:val="225"/>
        </w:trPr>
        <w:tc>
          <w:tcPr>
            <w:tcW w:w="1264" w:type="dxa"/>
            <w:vMerge/>
            <w:tcBorders>
              <w:top w:val="nil"/>
              <w:left w:val="single" w:sz="6" w:space="0" w:color="FFFFFF"/>
              <w:bottom w:val="single" w:sz="6" w:space="0" w:color="FFFFFF"/>
              <w:right w:val="single" w:sz="6" w:space="0" w:color="FFFFFF"/>
            </w:tcBorders>
            <w:vAlign w:val="center"/>
            <w:hideMark/>
          </w:tcPr>
          <w:p w14:paraId="7003DDCE" w14:textId="77777777" w:rsidR="000F170C" w:rsidRPr="00DE79CB" w:rsidRDefault="000F170C" w:rsidP="004E7734">
            <w:pPr>
              <w:spacing w:after="0" w:line="240" w:lineRule="auto"/>
              <w:rPr>
                <w:rFonts w:ascii="Verdana" w:eastAsia="Verdana" w:hAnsi="Verdana" w:cs="Verdana"/>
                <w:sz w:val="18"/>
                <w:szCs w:val="18"/>
                <w:lang w:val="en-US"/>
              </w:rPr>
            </w:pPr>
          </w:p>
        </w:tc>
        <w:tc>
          <w:tcPr>
            <w:tcW w:w="863" w:type="dxa"/>
            <w:vMerge/>
            <w:tcBorders>
              <w:top w:val="nil"/>
              <w:left w:val="single" w:sz="6" w:space="0" w:color="FFFFFF"/>
              <w:bottom w:val="single" w:sz="6" w:space="0" w:color="FFFFFF"/>
              <w:right w:val="single" w:sz="6" w:space="0" w:color="FFFFFF"/>
            </w:tcBorders>
            <w:vAlign w:val="center"/>
            <w:hideMark/>
          </w:tcPr>
          <w:p w14:paraId="5F610C2A" w14:textId="77777777" w:rsidR="000F170C" w:rsidRPr="00DE79CB" w:rsidRDefault="000F170C" w:rsidP="004E7734">
            <w:pPr>
              <w:spacing w:after="0" w:line="240" w:lineRule="auto"/>
              <w:rPr>
                <w:rFonts w:ascii="Verdana" w:eastAsia="Verdana" w:hAnsi="Verdana" w:cs="Verdana"/>
                <w:sz w:val="18"/>
                <w:szCs w:val="18"/>
                <w:lang w:val="en-US"/>
              </w:rPr>
            </w:pPr>
          </w:p>
        </w:tc>
        <w:tc>
          <w:tcPr>
            <w:tcW w:w="1732" w:type="dxa"/>
            <w:tcBorders>
              <w:top w:val="nil"/>
              <w:left w:val="nil"/>
              <w:bottom w:val="single" w:sz="6" w:space="0" w:color="FFFFFF"/>
              <w:right w:val="single" w:sz="6" w:space="0" w:color="FFFFFF"/>
            </w:tcBorders>
            <w:shd w:val="clear" w:color="auto" w:fill="D9D9D9"/>
            <w:vAlign w:val="center"/>
            <w:hideMark/>
          </w:tcPr>
          <w:p w14:paraId="291C897E" w14:textId="77777777"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Seed</w:t>
            </w:r>
            <w:proofErr w:type="spellEnd"/>
            <w:r w:rsidRPr="00DE79CB">
              <w:rPr>
                <w:rFonts w:ascii="Verdana" w:eastAsia="Verdana" w:hAnsi="Verdana" w:cs="Verdana"/>
                <w:sz w:val="18"/>
                <w:szCs w:val="18"/>
              </w:rPr>
              <w:t> </w:t>
            </w:r>
            <w:proofErr w:type="spellStart"/>
            <w:r w:rsidRPr="00DE79CB">
              <w:rPr>
                <w:rFonts w:ascii="Verdana" w:eastAsia="Verdana" w:hAnsi="Verdana" w:cs="Verdana"/>
                <w:sz w:val="18"/>
                <w:szCs w:val="18"/>
              </w:rPr>
              <w:t>oil</w:t>
            </w:r>
            <w:proofErr w:type="spellEnd"/>
            <w:r w:rsidRPr="00DE79CB">
              <w:rPr>
                <w:rFonts w:ascii="Verdana" w:eastAsia="Verdana" w:hAnsi="Verdana" w:cs="Verdana"/>
                <w:sz w:val="18"/>
                <w:szCs w:val="18"/>
              </w:rPr>
              <w:t>, </w:t>
            </w:r>
            <w:proofErr w:type="spellStart"/>
            <w:r w:rsidRPr="00DE79CB">
              <w:rPr>
                <w:rFonts w:ascii="Verdana" w:eastAsia="Verdana" w:hAnsi="Verdana" w:cs="Verdana"/>
                <w:sz w:val="18"/>
                <w:szCs w:val="18"/>
              </w:rPr>
              <w:t>shea</w:t>
            </w:r>
            <w:proofErr w:type="spellEnd"/>
            <w:r w:rsidRPr="00DE79CB">
              <w:rPr>
                <w:rFonts w:ascii="Verdana" w:eastAsia="Verdana" w:hAnsi="Verdana" w:cs="Verdana"/>
                <w:sz w:val="18"/>
                <w:szCs w:val="18"/>
              </w:rPr>
              <w:t> </w:t>
            </w:r>
          </w:p>
          <w:p w14:paraId="46D35F45" w14:textId="77777777"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butter</w:t>
            </w:r>
            <w:proofErr w:type="spellEnd"/>
            <w:r w:rsidRPr="00DE79CB">
              <w:rPr>
                <w:rFonts w:ascii="Verdana" w:eastAsia="Verdana" w:hAnsi="Verdana" w:cs="Verdana"/>
                <w:sz w:val="18"/>
                <w:szCs w:val="18"/>
              </w:rPr>
              <w:t> </w:t>
            </w:r>
          </w:p>
        </w:tc>
        <w:tc>
          <w:tcPr>
            <w:tcW w:w="5213" w:type="dxa"/>
            <w:vMerge/>
            <w:tcBorders>
              <w:top w:val="nil"/>
              <w:left w:val="single" w:sz="6" w:space="0" w:color="FFFFFF"/>
              <w:bottom w:val="single" w:sz="6" w:space="0" w:color="FFFFFF"/>
              <w:right w:val="single" w:sz="6" w:space="0" w:color="FFFFFF"/>
            </w:tcBorders>
            <w:vAlign w:val="center"/>
            <w:hideMark/>
          </w:tcPr>
          <w:p w14:paraId="35FAB242" w14:textId="77777777" w:rsidR="000F170C" w:rsidRPr="00DE79CB" w:rsidRDefault="000F170C" w:rsidP="004E7734">
            <w:pPr>
              <w:spacing w:after="0" w:line="240" w:lineRule="auto"/>
              <w:rPr>
                <w:rFonts w:ascii="Verdana" w:eastAsia="Verdana" w:hAnsi="Verdana" w:cs="Verdana"/>
                <w:sz w:val="18"/>
                <w:szCs w:val="18"/>
              </w:rPr>
            </w:pPr>
          </w:p>
        </w:tc>
      </w:tr>
      <w:tr w:rsidR="000F170C" w:rsidRPr="00DE79CB" w14:paraId="6A86E6B4" w14:textId="77777777" w:rsidTr="004E7734">
        <w:trPr>
          <w:trHeight w:val="225"/>
        </w:trPr>
        <w:tc>
          <w:tcPr>
            <w:tcW w:w="1264" w:type="dxa"/>
            <w:vMerge/>
            <w:tcBorders>
              <w:top w:val="nil"/>
              <w:left w:val="single" w:sz="6" w:space="0" w:color="FFFFFF"/>
              <w:bottom w:val="single" w:sz="6" w:space="0" w:color="FFFFFF"/>
              <w:right w:val="single" w:sz="6" w:space="0" w:color="FFFFFF"/>
            </w:tcBorders>
            <w:vAlign w:val="center"/>
            <w:hideMark/>
          </w:tcPr>
          <w:p w14:paraId="1688FC70" w14:textId="77777777" w:rsidR="000F170C" w:rsidRPr="00DE79CB" w:rsidRDefault="000F170C" w:rsidP="004E7734">
            <w:pPr>
              <w:spacing w:after="0" w:line="240" w:lineRule="auto"/>
              <w:rPr>
                <w:rFonts w:ascii="Verdana" w:eastAsia="Verdana" w:hAnsi="Verdana" w:cs="Verdana"/>
                <w:sz w:val="18"/>
                <w:szCs w:val="18"/>
              </w:rPr>
            </w:pPr>
          </w:p>
        </w:tc>
        <w:tc>
          <w:tcPr>
            <w:tcW w:w="863" w:type="dxa"/>
            <w:vMerge/>
            <w:tcBorders>
              <w:top w:val="nil"/>
              <w:left w:val="single" w:sz="6" w:space="0" w:color="FFFFFF"/>
              <w:bottom w:val="single" w:sz="6" w:space="0" w:color="FFFFFF"/>
              <w:right w:val="single" w:sz="6" w:space="0" w:color="FFFFFF"/>
            </w:tcBorders>
            <w:vAlign w:val="center"/>
            <w:hideMark/>
          </w:tcPr>
          <w:p w14:paraId="20491ABF" w14:textId="77777777" w:rsidR="000F170C" w:rsidRPr="00DE79CB" w:rsidRDefault="000F170C" w:rsidP="004E7734">
            <w:pPr>
              <w:spacing w:after="0" w:line="240" w:lineRule="auto"/>
              <w:rPr>
                <w:rFonts w:ascii="Verdana" w:eastAsia="Verdana" w:hAnsi="Verdana" w:cs="Verdana"/>
                <w:sz w:val="18"/>
                <w:szCs w:val="18"/>
              </w:rPr>
            </w:pPr>
          </w:p>
        </w:tc>
        <w:tc>
          <w:tcPr>
            <w:tcW w:w="1732" w:type="dxa"/>
            <w:tcBorders>
              <w:top w:val="nil"/>
              <w:left w:val="nil"/>
              <w:bottom w:val="single" w:sz="6" w:space="0" w:color="FFFFFF"/>
              <w:right w:val="single" w:sz="6" w:space="0" w:color="FFFFFF"/>
            </w:tcBorders>
            <w:shd w:val="clear" w:color="auto" w:fill="D9D9D9"/>
            <w:vAlign w:val="center"/>
            <w:hideMark/>
          </w:tcPr>
          <w:p w14:paraId="2F93E4DC"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Coffee, tea </w:t>
            </w:r>
          </w:p>
        </w:tc>
        <w:tc>
          <w:tcPr>
            <w:tcW w:w="5213" w:type="dxa"/>
            <w:vMerge/>
            <w:tcBorders>
              <w:top w:val="nil"/>
              <w:left w:val="single" w:sz="6" w:space="0" w:color="FFFFFF"/>
              <w:bottom w:val="single" w:sz="6" w:space="0" w:color="FFFFFF"/>
              <w:right w:val="single" w:sz="6" w:space="0" w:color="FFFFFF"/>
            </w:tcBorders>
            <w:vAlign w:val="center"/>
            <w:hideMark/>
          </w:tcPr>
          <w:p w14:paraId="57BF8CBC" w14:textId="77777777" w:rsidR="000F170C" w:rsidRPr="00DE79CB" w:rsidRDefault="000F170C" w:rsidP="004E7734">
            <w:pPr>
              <w:spacing w:after="0" w:line="240" w:lineRule="auto"/>
              <w:rPr>
                <w:rFonts w:ascii="Verdana" w:eastAsia="Verdana" w:hAnsi="Verdana" w:cs="Verdana"/>
                <w:sz w:val="18"/>
                <w:szCs w:val="18"/>
              </w:rPr>
            </w:pPr>
          </w:p>
        </w:tc>
      </w:tr>
      <w:tr w:rsidR="000F170C" w:rsidRPr="00DE79CB" w14:paraId="6174F4B3" w14:textId="77777777" w:rsidTr="004E7734">
        <w:trPr>
          <w:trHeight w:val="225"/>
        </w:trPr>
        <w:tc>
          <w:tcPr>
            <w:tcW w:w="1264" w:type="dxa"/>
            <w:vMerge/>
            <w:tcBorders>
              <w:top w:val="nil"/>
              <w:left w:val="single" w:sz="6" w:space="0" w:color="FFFFFF"/>
              <w:bottom w:val="single" w:sz="6" w:space="0" w:color="FFFFFF"/>
              <w:right w:val="single" w:sz="6" w:space="0" w:color="FFFFFF"/>
            </w:tcBorders>
            <w:vAlign w:val="center"/>
            <w:hideMark/>
          </w:tcPr>
          <w:p w14:paraId="544D827F" w14:textId="77777777" w:rsidR="000F170C" w:rsidRPr="00DE79CB" w:rsidRDefault="000F170C" w:rsidP="004E7734">
            <w:pPr>
              <w:spacing w:after="0" w:line="240" w:lineRule="auto"/>
              <w:rPr>
                <w:rFonts w:ascii="Verdana" w:eastAsia="Verdana" w:hAnsi="Verdana" w:cs="Verdana"/>
                <w:sz w:val="18"/>
                <w:szCs w:val="18"/>
              </w:rPr>
            </w:pPr>
          </w:p>
        </w:tc>
        <w:tc>
          <w:tcPr>
            <w:tcW w:w="863" w:type="dxa"/>
            <w:vMerge/>
            <w:tcBorders>
              <w:top w:val="nil"/>
              <w:left w:val="single" w:sz="6" w:space="0" w:color="FFFFFF"/>
              <w:bottom w:val="single" w:sz="6" w:space="0" w:color="FFFFFF"/>
              <w:right w:val="single" w:sz="6" w:space="0" w:color="FFFFFF"/>
            </w:tcBorders>
            <w:vAlign w:val="center"/>
            <w:hideMark/>
          </w:tcPr>
          <w:p w14:paraId="3C942CAF" w14:textId="77777777" w:rsidR="000F170C" w:rsidRPr="00DE79CB" w:rsidRDefault="000F170C" w:rsidP="004E7734">
            <w:pPr>
              <w:spacing w:after="0" w:line="240" w:lineRule="auto"/>
              <w:rPr>
                <w:rFonts w:ascii="Verdana" w:eastAsia="Verdana" w:hAnsi="Verdana" w:cs="Verdana"/>
                <w:sz w:val="18"/>
                <w:szCs w:val="18"/>
              </w:rPr>
            </w:pPr>
          </w:p>
        </w:tc>
        <w:tc>
          <w:tcPr>
            <w:tcW w:w="1732" w:type="dxa"/>
            <w:tcBorders>
              <w:top w:val="nil"/>
              <w:left w:val="nil"/>
              <w:bottom w:val="single" w:sz="6" w:space="0" w:color="FFFFFF"/>
              <w:right w:val="single" w:sz="6" w:space="0" w:color="FFFFFF"/>
            </w:tcBorders>
            <w:shd w:val="clear" w:color="auto" w:fill="D9D9D9"/>
            <w:vAlign w:val="center"/>
            <w:hideMark/>
          </w:tcPr>
          <w:p w14:paraId="1B831AA8"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Cacao </w:t>
            </w:r>
          </w:p>
        </w:tc>
        <w:tc>
          <w:tcPr>
            <w:tcW w:w="5213" w:type="dxa"/>
            <w:vMerge/>
            <w:tcBorders>
              <w:top w:val="nil"/>
              <w:left w:val="single" w:sz="6" w:space="0" w:color="FFFFFF"/>
              <w:bottom w:val="single" w:sz="6" w:space="0" w:color="FFFFFF"/>
              <w:right w:val="single" w:sz="6" w:space="0" w:color="FFFFFF"/>
            </w:tcBorders>
            <w:vAlign w:val="center"/>
            <w:hideMark/>
          </w:tcPr>
          <w:p w14:paraId="0FA253C9" w14:textId="77777777" w:rsidR="000F170C" w:rsidRPr="00DE79CB" w:rsidRDefault="000F170C" w:rsidP="004E7734">
            <w:pPr>
              <w:spacing w:after="0" w:line="240" w:lineRule="auto"/>
              <w:rPr>
                <w:rFonts w:ascii="Verdana" w:eastAsia="Verdana" w:hAnsi="Verdana" w:cs="Verdana"/>
                <w:sz w:val="18"/>
                <w:szCs w:val="18"/>
              </w:rPr>
            </w:pPr>
          </w:p>
        </w:tc>
      </w:tr>
      <w:tr w:rsidR="000F170C" w:rsidRPr="00DE79CB" w14:paraId="37A17991" w14:textId="77777777" w:rsidTr="004E7734">
        <w:trPr>
          <w:trHeight w:val="315"/>
        </w:trPr>
        <w:tc>
          <w:tcPr>
            <w:tcW w:w="1264" w:type="dxa"/>
            <w:vMerge/>
            <w:tcBorders>
              <w:top w:val="nil"/>
              <w:left w:val="single" w:sz="6" w:space="0" w:color="FFFFFF"/>
              <w:bottom w:val="single" w:sz="6" w:space="0" w:color="FFFFFF"/>
              <w:right w:val="single" w:sz="6" w:space="0" w:color="FFFFFF"/>
            </w:tcBorders>
            <w:vAlign w:val="center"/>
            <w:hideMark/>
          </w:tcPr>
          <w:p w14:paraId="5EDC5715" w14:textId="77777777" w:rsidR="000F170C" w:rsidRPr="00DE79CB" w:rsidRDefault="000F170C" w:rsidP="004E7734">
            <w:pPr>
              <w:spacing w:after="0" w:line="240" w:lineRule="auto"/>
              <w:rPr>
                <w:rFonts w:ascii="Verdana" w:eastAsia="Verdana" w:hAnsi="Verdana" w:cs="Verdana"/>
                <w:sz w:val="18"/>
                <w:szCs w:val="18"/>
              </w:rPr>
            </w:pPr>
          </w:p>
        </w:tc>
        <w:tc>
          <w:tcPr>
            <w:tcW w:w="863" w:type="dxa"/>
            <w:tcBorders>
              <w:top w:val="nil"/>
              <w:left w:val="nil"/>
              <w:bottom w:val="single" w:sz="6" w:space="0" w:color="FFFFFF"/>
              <w:right w:val="single" w:sz="6" w:space="0" w:color="FFFFFF"/>
            </w:tcBorders>
            <w:shd w:val="clear" w:color="auto" w:fill="D9D9D9"/>
            <w:vAlign w:val="center"/>
            <w:hideMark/>
          </w:tcPr>
          <w:p w14:paraId="4605BB96"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CRM </w:t>
            </w:r>
          </w:p>
        </w:tc>
        <w:tc>
          <w:tcPr>
            <w:tcW w:w="1732" w:type="dxa"/>
            <w:tcBorders>
              <w:top w:val="nil"/>
              <w:left w:val="nil"/>
              <w:bottom w:val="single" w:sz="6" w:space="0" w:color="FFFFFF"/>
              <w:right w:val="single" w:sz="6" w:space="0" w:color="FFFFFF"/>
            </w:tcBorders>
            <w:shd w:val="clear" w:color="auto" w:fill="D9D9D9"/>
            <w:vAlign w:val="center"/>
            <w:hideMark/>
          </w:tcPr>
          <w:p w14:paraId="64FA461A" w14:textId="77777777"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Graphite</w:t>
            </w:r>
            <w:proofErr w:type="spellEnd"/>
            <w:r w:rsidRPr="00DE79CB">
              <w:rPr>
                <w:rFonts w:ascii="Verdana" w:eastAsia="Verdana" w:hAnsi="Verdana" w:cs="Verdana"/>
                <w:sz w:val="18"/>
                <w:szCs w:val="18"/>
              </w:rPr>
              <w:t> </w:t>
            </w:r>
          </w:p>
        </w:tc>
        <w:tc>
          <w:tcPr>
            <w:tcW w:w="5213" w:type="dxa"/>
            <w:tcBorders>
              <w:top w:val="nil"/>
              <w:left w:val="nil"/>
              <w:bottom w:val="single" w:sz="6" w:space="0" w:color="FFFFFF"/>
              <w:right w:val="single" w:sz="6" w:space="0" w:color="FFFFFF"/>
            </w:tcBorders>
            <w:shd w:val="clear" w:color="auto" w:fill="D9D9D9"/>
            <w:vAlign w:val="bottom"/>
            <w:hideMark/>
          </w:tcPr>
          <w:p w14:paraId="706040C3" w14:textId="79328C96" w:rsidR="000F170C" w:rsidRPr="00DE79CB" w:rsidRDefault="000F170C"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 </w:t>
            </w:r>
            <w:r w:rsidR="00AA3E3A" w:rsidRPr="00DE79CB">
              <w:rPr>
                <w:rFonts w:ascii="Verdana" w:eastAsia="Verdana" w:hAnsi="Verdana" w:cs="Verdana"/>
                <w:sz w:val="18"/>
                <w:szCs w:val="18"/>
                <w:lang w:val="en-US"/>
              </w:rPr>
              <w:t>Fair trade in critical minerals between the Great Lakes region and the Netherlands, due diligence, responsible mineral supply chains</w:t>
            </w:r>
          </w:p>
        </w:tc>
      </w:tr>
      <w:tr w:rsidR="000F170C" w:rsidRPr="00DE79CB" w14:paraId="0B449B46" w14:textId="77777777" w:rsidTr="004E7734">
        <w:trPr>
          <w:trHeight w:val="225"/>
        </w:trPr>
        <w:tc>
          <w:tcPr>
            <w:tcW w:w="1264" w:type="dxa"/>
            <w:vMerge w:val="restart"/>
            <w:tcBorders>
              <w:top w:val="nil"/>
              <w:left w:val="single" w:sz="6" w:space="0" w:color="FFFFFF"/>
              <w:bottom w:val="single" w:sz="6" w:space="0" w:color="FFFFFF"/>
              <w:right w:val="single" w:sz="6" w:space="0" w:color="FFFFFF"/>
            </w:tcBorders>
            <w:shd w:val="clear" w:color="auto" w:fill="E8E8E8"/>
            <w:vAlign w:val="center"/>
            <w:hideMark/>
          </w:tcPr>
          <w:p w14:paraId="48C18BEA"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Vietnam </w:t>
            </w:r>
          </w:p>
        </w:tc>
        <w:tc>
          <w:tcPr>
            <w:tcW w:w="863" w:type="dxa"/>
            <w:vMerge w:val="restart"/>
            <w:tcBorders>
              <w:top w:val="nil"/>
              <w:left w:val="single" w:sz="6" w:space="0" w:color="FFFFFF"/>
              <w:bottom w:val="single" w:sz="6" w:space="0" w:color="FFFFFF"/>
              <w:right w:val="single" w:sz="6" w:space="0" w:color="FFFFFF"/>
            </w:tcBorders>
            <w:shd w:val="clear" w:color="auto" w:fill="E8E8E8"/>
            <w:vAlign w:val="center"/>
            <w:hideMark/>
          </w:tcPr>
          <w:p w14:paraId="44215A7D" w14:textId="5989F6D8"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Agri</w:t>
            </w:r>
            <w:r w:rsidR="00AA3E3A" w:rsidRPr="00DE79CB">
              <w:rPr>
                <w:rFonts w:ascii="Verdana" w:eastAsia="Verdana" w:hAnsi="Verdana" w:cs="Verdana"/>
                <w:sz w:val="18"/>
                <w:szCs w:val="18"/>
              </w:rPr>
              <w:t>culture</w:t>
            </w:r>
            <w:proofErr w:type="spellEnd"/>
            <w:r w:rsidRPr="00DE79CB">
              <w:rPr>
                <w:rFonts w:ascii="Verdana" w:eastAsia="Verdana" w:hAnsi="Verdana" w:cs="Verdana"/>
                <w:sz w:val="18"/>
                <w:szCs w:val="18"/>
              </w:rPr>
              <w:t> </w:t>
            </w:r>
          </w:p>
        </w:tc>
        <w:tc>
          <w:tcPr>
            <w:tcW w:w="1732" w:type="dxa"/>
            <w:tcBorders>
              <w:top w:val="nil"/>
              <w:left w:val="nil"/>
              <w:bottom w:val="single" w:sz="6" w:space="0" w:color="FFFFFF"/>
              <w:right w:val="single" w:sz="6" w:space="0" w:color="FFFFFF"/>
            </w:tcBorders>
            <w:shd w:val="clear" w:color="auto" w:fill="E8E8E8"/>
            <w:vAlign w:val="center"/>
            <w:hideMark/>
          </w:tcPr>
          <w:p w14:paraId="4E993604"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Coffee </w:t>
            </w:r>
          </w:p>
        </w:tc>
        <w:tc>
          <w:tcPr>
            <w:tcW w:w="5213" w:type="dxa"/>
            <w:vMerge w:val="restart"/>
            <w:tcBorders>
              <w:top w:val="nil"/>
              <w:left w:val="single" w:sz="6" w:space="0" w:color="FFFFFF"/>
              <w:bottom w:val="single" w:sz="6" w:space="0" w:color="FFFFFF"/>
              <w:right w:val="single" w:sz="6" w:space="0" w:color="FFFFFF"/>
            </w:tcBorders>
            <w:shd w:val="clear" w:color="auto" w:fill="E8E8E8"/>
            <w:hideMark/>
          </w:tcPr>
          <w:p w14:paraId="66BA11AA" w14:textId="6B4F817D" w:rsidR="000F170C" w:rsidRPr="00DE79CB" w:rsidRDefault="000F170C"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 xml:space="preserve">EUDR compliance esp. traceability &amp; capacity building for smallholder farmers, greening production &amp; reducing GHG emissions, decent </w:t>
            </w:r>
            <w:proofErr w:type="spellStart"/>
            <w:r w:rsidRPr="00DE79CB">
              <w:rPr>
                <w:rFonts w:ascii="Verdana" w:eastAsia="Verdana" w:hAnsi="Verdana" w:cs="Verdana"/>
                <w:sz w:val="18"/>
                <w:szCs w:val="18"/>
                <w:lang w:val="en-US"/>
              </w:rPr>
              <w:t>work</w:t>
            </w:r>
            <w:r w:rsidR="00AA3E3A" w:rsidRPr="00DE79CB">
              <w:rPr>
                <w:rFonts w:ascii="Verdana" w:eastAsia="Verdana" w:hAnsi="Verdana" w:cs="Verdana"/>
                <w:sz w:val="18"/>
                <w:szCs w:val="18"/>
                <w:lang w:val="en-US"/>
              </w:rPr>
              <w:t>,</w:t>
            </w:r>
            <w:r w:rsidRPr="00DE79CB">
              <w:rPr>
                <w:rFonts w:ascii="Verdana" w:eastAsia="Verdana" w:hAnsi="Verdana" w:cs="Verdana"/>
                <w:sz w:val="18"/>
                <w:szCs w:val="18"/>
                <w:lang w:val="en-US"/>
              </w:rPr>
              <w:t>living</w:t>
            </w:r>
            <w:proofErr w:type="spellEnd"/>
            <w:r w:rsidRPr="00DE79CB">
              <w:rPr>
                <w:rFonts w:ascii="Verdana" w:eastAsia="Verdana" w:hAnsi="Verdana" w:cs="Verdana"/>
                <w:sz w:val="18"/>
                <w:szCs w:val="18"/>
                <w:lang w:val="en-US"/>
              </w:rPr>
              <w:t xml:space="preserve"> wage</w:t>
            </w:r>
          </w:p>
        </w:tc>
      </w:tr>
      <w:tr w:rsidR="000F170C" w:rsidRPr="00DE79CB" w14:paraId="096A6959" w14:textId="77777777" w:rsidTr="004E7734">
        <w:trPr>
          <w:trHeight w:val="225"/>
        </w:trPr>
        <w:tc>
          <w:tcPr>
            <w:tcW w:w="1264" w:type="dxa"/>
            <w:vMerge/>
            <w:tcBorders>
              <w:top w:val="nil"/>
              <w:left w:val="single" w:sz="6" w:space="0" w:color="FFFFFF"/>
              <w:bottom w:val="single" w:sz="6" w:space="0" w:color="FFFFFF"/>
              <w:right w:val="single" w:sz="6" w:space="0" w:color="FFFFFF"/>
            </w:tcBorders>
            <w:vAlign w:val="center"/>
            <w:hideMark/>
          </w:tcPr>
          <w:p w14:paraId="62059136" w14:textId="77777777" w:rsidR="000F170C" w:rsidRPr="00DE79CB" w:rsidRDefault="000F170C" w:rsidP="004E7734">
            <w:pPr>
              <w:spacing w:after="0" w:line="240" w:lineRule="auto"/>
              <w:rPr>
                <w:rFonts w:ascii="Verdana" w:eastAsia="Verdana" w:hAnsi="Verdana" w:cs="Verdana"/>
                <w:sz w:val="18"/>
                <w:szCs w:val="18"/>
                <w:lang w:val="en-US"/>
              </w:rPr>
            </w:pPr>
          </w:p>
        </w:tc>
        <w:tc>
          <w:tcPr>
            <w:tcW w:w="863" w:type="dxa"/>
            <w:vMerge/>
            <w:tcBorders>
              <w:top w:val="nil"/>
              <w:left w:val="single" w:sz="6" w:space="0" w:color="FFFFFF"/>
              <w:bottom w:val="single" w:sz="6" w:space="0" w:color="FFFFFF"/>
              <w:right w:val="single" w:sz="6" w:space="0" w:color="FFFFFF"/>
            </w:tcBorders>
            <w:vAlign w:val="center"/>
            <w:hideMark/>
          </w:tcPr>
          <w:p w14:paraId="0AA0BB15" w14:textId="77777777" w:rsidR="000F170C" w:rsidRPr="00DE79CB" w:rsidRDefault="000F170C" w:rsidP="004E7734">
            <w:pPr>
              <w:spacing w:after="0" w:line="240" w:lineRule="auto"/>
              <w:rPr>
                <w:rFonts w:ascii="Verdana" w:eastAsia="Verdana" w:hAnsi="Verdana" w:cs="Verdana"/>
                <w:sz w:val="18"/>
                <w:szCs w:val="18"/>
                <w:lang w:val="en-US"/>
              </w:rPr>
            </w:pPr>
          </w:p>
        </w:tc>
        <w:tc>
          <w:tcPr>
            <w:tcW w:w="1732" w:type="dxa"/>
            <w:tcBorders>
              <w:top w:val="nil"/>
              <w:left w:val="nil"/>
              <w:bottom w:val="single" w:sz="6" w:space="0" w:color="FFFFFF"/>
              <w:right w:val="single" w:sz="6" w:space="0" w:color="FFFFFF"/>
            </w:tcBorders>
            <w:shd w:val="clear" w:color="auto" w:fill="E8E8E8"/>
            <w:vAlign w:val="center"/>
            <w:hideMark/>
          </w:tcPr>
          <w:p w14:paraId="5335CEC6"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Aquaculture </w:t>
            </w:r>
          </w:p>
        </w:tc>
        <w:tc>
          <w:tcPr>
            <w:tcW w:w="5213" w:type="dxa"/>
            <w:vMerge/>
            <w:tcBorders>
              <w:top w:val="nil"/>
              <w:left w:val="single" w:sz="6" w:space="0" w:color="FFFFFF"/>
              <w:bottom w:val="single" w:sz="6" w:space="0" w:color="FFFFFF"/>
              <w:right w:val="single" w:sz="6" w:space="0" w:color="FFFFFF"/>
            </w:tcBorders>
            <w:vAlign w:val="center"/>
            <w:hideMark/>
          </w:tcPr>
          <w:p w14:paraId="524A59F8" w14:textId="77777777" w:rsidR="000F170C" w:rsidRPr="00DE79CB" w:rsidRDefault="000F170C" w:rsidP="004E7734">
            <w:pPr>
              <w:spacing w:after="0" w:line="240" w:lineRule="auto"/>
              <w:rPr>
                <w:rFonts w:ascii="Verdana" w:eastAsia="Verdana" w:hAnsi="Verdana" w:cs="Verdana"/>
                <w:sz w:val="18"/>
                <w:szCs w:val="18"/>
              </w:rPr>
            </w:pPr>
          </w:p>
        </w:tc>
      </w:tr>
      <w:tr w:rsidR="000F170C" w:rsidRPr="00DE79CB" w14:paraId="3F0D0AED" w14:textId="77777777" w:rsidTr="004E7734">
        <w:trPr>
          <w:trHeight w:val="315"/>
        </w:trPr>
        <w:tc>
          <w:tcPr>
            <w:tcW w:w="1264" w:type="dxa"/>
            <w:vMerge/>
            <w:tcBorders>
              <w:top w:val="nil"/>
              <w:left w:val="single" w:sz="6" w:space="0" w:color="FFFFFF"/>
              <w:bottom w:val="single" w:sz="6" w:space="0" w:color="FFFFFF"/>
              <w:right w:val="single" w:sz="6" w:space="0" w:color="FFFFFF"/>
            </w:tcBorders>
            <w:vAlign w:val="center"/>
            <w:hideMark/>
          </w:tcPr>
          <w:p w14:paraId="52581E2C" w14:textId="77777777" w:rsidR="000F170C" w:rsidRPr="00DE79CB" w:rsidRDefault="000F170C" w:rsidP="004E7734">
            <w:pPr>
              <w:spacing w:after="0" w:line="240" w:lineRule="auto"/>
              <w:rPr>
                <w:rFonts w:ascii="Verdana" w:eastAsia="Verdana" w:hAnsi="Verdana" w:cs="Verdana"/>
                <w:sz w:val="18"/>
                <w:szCs w:val="18"/>
              </w:rPr>
            </w:pPr>
          </w:p>
        </w:tc>
        <w:tc>
          <w:tcPr>
            <w:tcW w:w="863" w:type="dxa"/>
            <w:vMerge/>
            <w:tcBorders>
              <w:top w:val="nil"/>
              <w:left w:val="single" w:sz="6" w:space="0" w:color="FFFFFF"/>
              <w:bottom w:val="single" w:sz="6" w:space="0" w:color="FFFFFF"/>
              <w:right w:val="single" w:sz="6" w:space="0" w:color="FFFFFF"/>
            </w:tcBorders>
            <w:vAlign w:val="center"/>
            <w:hideMark/>
          </w:tcPr>
          <w:p w14:paraId="198A6996" w14:textId="77777777" w:rsidR="000F170C" w:rsidRPr="00DE79CB" w:rsidRDefault="000F170C" w:rsidP="004E7734">
            <w:pPr>
              <w:spacing w:after="0" w:line="240" w:lineRule="auto"/>
              <w:rPr>
                <w:rFonts w:ascii="Verdana" w:eastAsia="Verdana" w:hAnsi="Verdana" w:cs="Verdana"/>
                <w:sz w:val="18"/>
                <w:szCs w:val="18"/>
              </w:rPr>
            </w:pPr>
          </w:p>
        </w:tc>
        <w:tc>
          <w:tcPr>
            <w:tcW w:w="1732" w:type="dxa"/>
            <w:tcBorders>
              <w:top w:val="nil"/>
              <w:left w:val="nil"/>
              <w:bottom w:val="single" w:sz="6" w:space="0" w:color="FFFFFF"/>
              <w:right w:val="single" w:sz="6" w:space="0" w:color="FFFFFF"/>
            </w:tcBorders>
            <w:shd w:val="clear" w:color="auto" w:fill="E8E8E8"/>
            <w:vAlign w:val="center"/>
            <w:hideMark/>
          </w:tcPr>
          <w:p w14:paraId="6E014CAC" w14:textId="074B7A7E" w:rsidR="000F170C" w:rsidRPr="00DE79CB" w:rsidRDefault="000F170C" w:rsidP="004E7734">
            <w:pPr>
              <w:spacing w:after="0" w:line="240" w:lineRule="auto"/>
              <w:rPr>
                <w:rFonts w:ascii="Verdana" w:eastAsia="Verdana" w:hAnsi="Verdana" w:cs="Verdana"/>
                <w:sz w:val="18"/>
                <w:szCs w:val="18"/>
              </w:rPr>
            </w:pPr>
            <w:proofErr w:type="spellStart"/>
            <w:r w:rsidRPr="00DE79CB">
              <w:rPr>
                <w:rFonts w:ascii="Verdana" w:eastAsia="Verdana" w:hAnsi="Verdana" w:cs="Verdana"/>
                <w:sz w:val="18"/>
                <w:szCs w:val="18"/>
              </w:rPr>
              <w:t>Horti</w:t>
            </w:r>
            <w:r w:rsidR="00AA3E3A" w:rsidRPr="00DE79CB">
              <w:rPr>
                <w:rFonts w:ascii="Verdana" w:eastAsia="Verdana" w:hAnsi="Verdana" w:cs="Verdana"/>
                <w:sz w:val="18"/>
                <w:szCs w:val="18"/>
              </w:rPr>
              <w:t>culture</w:t>
            </w:r>
            <w:proofErr w:type="spellEnd"/>
            <w:r w:rsidRPr="00DE79CB">
              <w:rPr>
                <w:rFonts w:ascii="Verdana" w:eastAsia="Verdana" w:hAnsi="Verdana" w:cs="Verdana"/>
                <w:sz w:val="18"/>
                <w:szCs w:val="18"/>
              </w:rPr>
              <w:t> </w:t>
            </w:r>
          </w:p>
        </w:tc>
        <w:tc>
          <w:tcPr>
            <w:tcW w:w="5213" w:type="dxa"/>
            <w:vMerge/>
            <w:tcBorders>
              <w:top w:val="nil"/>
              <w:left w:val="single" w:sz="6" w:space="0" w:color="FFFFFF"/>
              <w:bottom w:val="single" w:sz="6" w:space="0" w:color="FFFFFF"/>
              <w:right w:val="single" w:sz="6" w:space="0" w:color="FFFFFF"/>
            </w:tcBorders>
            <w:vAlign w:val="center"/>
            <w:hideMark/>
          </w:tcPr>
          <w:p w14:paraId="42E750A1" w14:textId="77777777" w:rsidR="000F170C" w:rsidRPr="00DE79CB" w:rsidRDefault="000F170C" w:rsidP="004E7734">
            <w:pPr>
              <w:spacing w:after="0" w:line="240" w:lineRule="auto"/>
              <w:rPr>
                <w:rFonts w:ascii="Verdana" w:eastAsia="Verdana" w:hAnsi="Verdana" w:cs="Verdana"/>
                <w:sz w:val="18"/>
                <w:szCs w:val="18"/>
              </w:rPr>
            </w:pPr>
          </w:p>
        </w:tc>
      </w:tr>
      <w:tr w:rsidR="000F170C" w:rsidRPr="00DE79CB" w14:paraId="4D589F68" w14:textId="77777777" w:rsidTr="004E7734">
        <w:trPr>
          <w:trHeight w:val="675"/>
        </w:trPr>
        <w:tc>
          <w:tcPr>
            <w:tcW w:w="1264" w:type="dxa"/>
            <w:vMerge/>
            <w:tcBorders>
              <w:top w:val="nil"/>
              <w:left w:val="single" w:sz="6" w:space="0" w:color="FFFFFF"/>
              <w:bottom w:val="single" w:sz="6" w:space="0" w:color="FFFFFF"/>
              <w:right w:val="single" w:sz="6" w:space="0" w:color="FFFFFF"/>
            </w:tcBorders>
            <w:vAlign w:val="center"/>
            <w:hideMark/>
          </w:tcPr>
          <w:p w14:paraId="20F87347" w14:textId="77777777" w:rsidR="000F170C" w:rsidRPr="00DE79CB" w:rsidRDefault="000F170C" w:rsidP="004E7734">
            <w:pPr>
              <w:spacing w:after="0" w:line="240" w:lineRule="auto"/>
              <w:rPr>
                <w:rFonts w:ascii="Verdana" w:eastAsia="Verdana" w:hAnsi="Verdana" w:cs="Verdana"/>
                <w:sz w:val="18"/>
                <w:szCs w:val="18"/>
              </w:rPr>
            </w:pPr>
          </w:p>
        </w:tc>
        <w:tc>
          <w:tcPr>
            <w:tcW w:w="863" w:type="dxa"/>
            <w:tcBorders>
              <w:top w:val="nil"/>
              <w:left w:val="nil"/>
              <w:bottom w:val="single" w:sz="6" w:space="0" w:color="FFFFFF"/>
              <w:right w:val="single" w:sz="6" w:space="0" w:color="FFFFFF"/>
            </w:tcBorders>
            <w:shd w:val="clear" w:color="auto" w:fill="E8E8E8"/>
            <w:vAlign w:val="center"/>
            <w:hideMark/>
          </w:tcPr>
          <w:p w14:paraId="766B1FEA" w14:textId="77777777" w:rsidR="000F170C" w:rsidRPr="00DE79CB" w:rsidRDefault="000F170C"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CRM </w:t>
            </w:r>
          </w:p>
        </w:tc>
        <w:tc>
          <w:tcPr>
            <w:tcW w:w="1732" w:type="dxa"/>
            <w:tcBorders>
              <w:top w:val="nil"/>
              <w:left w:val="nil"/>
              <w:bottom w:val="single" w:sz="6" w:space="0" w:color="FFFFFF"/>
              <w:right w:val="single" w:sz="6" w:space="0" w:color="FFFFFF"/>
            </w:tcBorders>
            <w:shd w:val="clear" w:color="auto" w:fill="E8E8E8"/>
            <w:vAlign w:val="center"/>
            <w:hideMark/>
          </w:tcPr>
          <w:p w14:paraId="06B44BE6" w14:textId="7C2976CF" w:rsidR="000F170C" w:rsidRPr="00DE79CB" w:rsidRDefault="00AA3E3A" w:rsidP="004E7734">
            <w:pPr>
              <w:spacing w:after="0" w:line="240" w:lineRule="auto"/>
              <w:rPr>
                <w:rFonts w:ascii="Verdana" w:eastAsia="Verdana" w:hAnsi="Verdana" w:cs="Verdana"/>
                <w:sz w:val="18"/>
                <w:szCs w:val="18"/>
              </w:rPr>
            </w:pPr>
            <w:r w:rsidRPr="00DE79CB">
              <w:rPr>
                <w:rFonts w:ascii="Verdana" w:eastAsia="Verdana" w:hAnsi="Verdana" w:cs="Verdana"/>
                <w:sz w:val="18"/>
                <w:szCs w:val="18"/>
              </w:rPr>
              <w:t xml:space="preserve">See </w:t>
            </w:r>
            <w:proofErr w:type="spellStart"/>
            <w:r w:rsidRPr="00DE79CB">
              <w:rPr>
                <w:rFonts w:ascii="Verdana" w:eastAsia="Verdana" w:hAnsi="Verdana" w:cs="Verdana"/>
                <w:sz w:val="18"/>
                <w:szCs w:val="18"/>
              </w:rPr>
              <w:t>definition</w:t>
            </w:r>
            <w:proofErr w:type="spellEnd"/>
            <w:r w:rsidRPr="00DE79CB">
              <w:rPr>
                <w:rFonts w:ascii="Verdana" w:eastAsia="Verdana" w:hAnsi="Verdana" w:cs="Verdana"/>
                <w:sz w:val="18"/>
                <w:szCs w:val="18"/>
              </w:rPr>
              <w:t xml:space="preserve"> </w:t>
            </w:r>
            <w:proofErr w:type="spellStart"/>
            <w:r w:rsidRPr="00DE79CB">
              <w:rPr>
                <w:rFonts w:ascii="Verdana" w:eastAsia="Verdana" w:hAnsi="Verdana" w:cs="Verdana"/>
                <w:sz w:val="18"/>
                <w:szCs w:val="18"/>
              </w:rPr>
              <w:t>above</w:t>
            </w:r>
            <w:proofErr w:type="spellEnd"/>
            <w:r w:rsidRPr="00DE79CB">
              <w:rPr>
                <w:rFonts w:ascii="Verdana" w:eastAsia="Verdana" w:hAnsi="Verdana" w:cs="Verdana"/>
                <w:sz w:val="18"/>
                <w:szCs w:val="18"/>
              </w:rPr>
              <w:t xml:space="preserve"> </w:t>
            </w:r>
          </w:p>
        </w:tc>
        <w:tc>
          <w:tcPr>
            <w:tcW w:w="5213" w:type="dxa"/>
            <w:tcBorders>
              <w:top w:val="nil"/>
              <w:left w:val="nil"/>
              <w:bottom w:val="single" w:sz="6" w:space="0" w:color="FFFFFF"/>
              <w:right w:val="single" w:sz="6" w:space="0" w:color="FFFFFF"/>
            </w:tcBorders>
            <w:shd w:val="clear" w:color="auto" w:fill="E8E8E8"/>
            <w:hideMark/>
          </w:tcPr>
          <w:p w14:paraId="4DD05BA5" w14:textId="77777777" w:rsidR="000F170C" w:rsidRPr="00DE79CB" w:rsidRDefault="000F170C"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Environmental degradation, water treatment, biodiversity loss, deforestation, occupational health &amp; safety, forced labor, child labour, bribery, fair competition (due to the significance of state-owned enterprises in the sector) </w:t>
            </w:r>
          </w:p>
        </w:tc>
      </w:tr>
      <w:tr w:rsidR="000F170C" w:rsidRPr="00DE79CB" w14:paraId="41EEA53E" w14:textId="77777777" w:rsidTr="004E7734">
        <w:trPr>
          <w:trHeight w:val="225"/>
        </w:trPr>
        <w:tc>
          <w:tcPr>
            <w:tcW w:w="1264" w:type="dxa"/>
            <w:tcBorders>
              <w:top w:val="nil"/>
              <w:left w:val="nil"/>
              <w:bottom w:val="nil"/>
              <w:right w:val="nil"/>
            </w:tcBorders>
            <w:vAlign w:val="bottom"/>
            <w:hideMark/>
          </w:tcPr>
          <w:p w14:paraId="5BE84A25" w14:textId="77777777" w:rsidR="000F170C" w:rsidRPr="00DE79CB" w:rsidRDefault="000F170C"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 </w:t>
            </w:r>
          </w:p>
        </w:tc>
        <w:tc>
          <w:tcPr>
            <w:tcW w:w="863" w:type="dxa"/>
            <w:tcBorders>
              <w:top w:val="nil"/>
              <w:left w:val="nil"/>
              <w:bottom w:val="nil"/>
              <w:right w:val="nil"/>
            </w:tcBorders>
            <w:vAlign w:val="center"/>
            <w:hideMark/>
          </w:tcPr>
          <w:p w14:paraId="797166D2" w14:textId="77777777" w:rsidR="000F170C" w:rsidRPr="00DE79CB" w:rsidRDefault="000F170C"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 </w:t>
            </w:r>
          </w:p>
        </w:tc>
        <w:tc>
          <w:tcPr>
            <w:tcW w:w="1732" w:type="dxa"/>
            <w:tcBorders>
              <w:top w:val="nil"/>
              <w:left w:val="nil"/>
              <w:bottom w:val="nil"/>
              <w:right w:val="nil"/>
            </w:tcBorders>
            <w:vAlign w:val="bottom"/>
            <w:hideMark/>
          </w:tcPr>
          <w:p w14:paraId="0E829063" w14:textId="77777777" w:rsidR="000F170C" w:rsidRPr="00DE79CB" w:rsidRDefault="000F170C"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 </w:t>
            </w:r>
          </w:p>
        </w:tc>
        <w:tc>
          <w:tcPr>
            <w:tcW w:w="5213" w:type="dxa"/>
            <w:tcBorders>
              <w:top w:val="nil"/>
              <w:left w:val="nil"/>
              <w:bottom w:val="nil"/>
              <w:right w:val="nil"/>
            </w:tcBorders>
            <w:vAlign w:val="bottom"/>
            <w:hideMark/>
          </w:tcPr>
          <w:p w14:paraId="41E9D073" w14:textId="77777777" w:rsidR="000F170C" w:rsidRPr="00DE79CB" w:rsidRDefault="000F170C" w:rsidP="004E7734">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US"/>
              </w:rPr>
              <w:t> </w:t>
            </w:r>
          </w:p>
        </w:tc>
      </w:tr>
      <w:tr w:rsidR="000F170C" w:rsidRPr="00DE79CB" w14:paraId="49FC2A7A" w14:textId="77777777" w:rsidTr="004E7734">
        <w:trPr>
          <w:trHeight w:val="225"/>
        </w:trPr>
        <w:tc>
          <w:tcPr>
            <w:tcW w:w="9072" w:type="dxa"/>
            <w:gridSpan w:val="4"/>
            <w:tcBorders>
              <w:top w:val="nil"/>
              <w:left w:val="nil"/>
              <w:bottom w:val="nil"/>
              <w:right w:val="nil"/>
            </w:tcBorders>
            <w:vAlign w:val="bottom"/>
            <w:hideMark/>
          </w:tcPr>
          <w:p w14:paraId="7B4610B7" w14:textId="516AFFF0" w:rsidR="000F170C" w:rsidRPr="00DE79CB" w:rsidRDefault="000F170C" w:rsidP="004E7734">
            <w:pPr>
              <w:spacing w:after="0" w:line="240" w:lineRule="auto"/>
              <w:rPr>
                <w:rFonts w:ascii="Verdana" w:eastAsia="Verdana" w:hAnsi="Verdana" w:cs="Verdana"/>
                <w:sz w:val="18"/>
                <w:szCs w:val="18"/>
                <w:lang w:val="en-US"/>
              </w:rPr>
            </w:pPr>
          </w:p>
        </w:tc>
      </w:tr>
    </w:tbl>
    <w:bookmarkEnd w:id="20"/>
    <w:p w14:paraId="450596E5" w14:textId="5866726F" w:rsidR="00636960" w:rsidRPr="00DE79CB" w:rsidRDefault="00636960" w:rsidP="00655670">
      <w:pPr>
        <w:spacing w:after="0" w:line="240" w:lineRule="auto"/>
        <w:rPr>
          <w:rFonts w:ascii="Verdana" w:eastAsia="Verdana" w:hAnsi="Verdana" w:cs="Verdana"/>
          <w:b/>
          <w:bCs/>
          <w:sz w:val="18"/>
          <w:szCs w:val="18"/>
          <w:lang w:val="en-US"/>
        </w:rPr>
      </w:pPr>
      <w:r w:rsidRPr="00DE79CB">
        <w:rPr>
          <w:rFonts w:ascii="Verdana" w:eastAsia="Verdana" w:hAnsi="Verdana" w:cs="Verdana"/>
          <w:b/>
          <w:bCs/>
          <w:sz w:val="18"/>
          <w:szCs w:val="18"/>
          <w:lang w:val="en-GB"/>
        </w:rPr>
        <w:t>Appendix 2 - People, Planet, Profit</w:t>
      </w:r>
    </w:p>
    <w:p w14:paraId="71226BFC" w14:textId="77777777" w:rsidR="00636960" w:rsidRPr="00DE79CB" w:rsidRDefault="00636960" w:rsidP="00655670">
      <w:pPr>
        <w:spacing w:after="0" w:line="240" w:lineRule="auto"/>
        <w:rPr>
          <w:rFonts w:ascii="Verdana" w:eastAsia="Verdana" w:hAnsi="Verdana" w:cs="Verdana"/>
          <w:sz w:val="18"/>
          <w:szCs w:val="18"/>
          <w:lang w:val="en-US"/>
        </w:rPr>
      </w:pPr>
    </w:p>
    <w:p w14:paraId="3D46C5EE" w14:textId="533321A4" w:rsidR="00636960" w:rsidRPr="00DE79CB" w:rsidRDefault="00636960"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 xml:space="preserve">The grant programme follows the OECD Guidelines and the United Nations Guiding Principles on Business and Human Rights, as well as the core themes derived from these frameworks. Applications may focus on the following themes, addressing economic, social and environmental aspects are addressed holistically, in line with the People, Planet, Profit principle. </w:t>
      </w:r>
    </w:p>
    <w:p w14:paraId="5F240F01" w14:textId="77777777" w:rsidR="00636960" w:rsidRPr="00DE79CB" w:rsidRDefault="00636960" w:rsidP="00655670">
      <w:pPr>
        <w:spacing w:after="0" w:line="240" w:lineRule="auto"/>
        <w:rPr>
          <w:rFonts w:ascii="Verdana" w:eastAsia="Verdana" w:hAnsi="Verdana" w:cs="Verdana"/>
          <w:sz w:val="18"/>
          <w:szCs w:val="18"/>
          <w:lang w:val="en-US"/>
        </w:rPr>
      </w:pPr>
    </w:p>
    <w:p w14:paraId="05608783" w14:textId="77777777" w:rsidR="00636960" w:rsidRPr="00DE79CB" w:rsidRDefault="00636960" w:rsidP="00655670">
      <w:pPr>
        <w:widowControl w:val="0"/>
        <w:autoSpaceDE w:val="0"/>
        <w:autoSpaceDN w:val="0"/>
        <w:adjustRightInd w:val="0"/>
        <w:spacing w:after="0" w:line="240" w:lineRule="auto"/>
        <w:rPr>
          <w:rFonts w:ascii="Verdana" w:eastAsia="Times New Roman" w:hAnsi="Verdana"/>
          <w:sz w:val="18"/>
          <w:szCs w:val="18"/>
          <w:lang w:val="en-US"/>
        </w:rPr>
      </w:pPr>
      <w:r w:rsidRPr="00DE79CB">
        <w:rPr>
          <w:rFonts w:ascii="Verdana" w:hAnsi="Verdana"/>
          <w:i/>
          <w:iCs/>
          <w:sz w:val="18"/>
          <w:szCs w:val="18"/>
          <w:lang w:val="en-GB"/>
        </w:rPr>
        <w:t>People:</w:t>
      </w:r>
      <w:r w:rsidRPr="00DE79CB">
        <w:rPr>
          <w:rFonts w:ascii="Verdana" w:hAnsi="Verdana"/>
          <w:sz w:val="18"/>
          <w:szCs w:val="18"/>
          <w:lang w:val="en-GB"/>
        </w:rPr>
        <w:t xml:space="preserve"> </w:t>
      </w:r>
      <w:r w:rsidRPr="00DE79CB">
        <w:rPr>
          <w:rFonts w:ascii="Verdana" w:hAnsi="Verdana"/>
          <w:i/>
          <w:iCs/>
          <w:sz w:val="18"/>
          <w:szCs w:val="18"/>
          <w:lang w:val="en-GB"/>
        </w:rPr>
        <w:t xml:space="preserve">social sustainability - human rights &amp; decent work: </w:t>
      </w:r>
    </w:p>
    <w:p w14:paraId="633B6083" w14:textId="77777777" w:rsidR="00636960" w:rsidRPr="00DE79CB" w:rsidRDefault="00636960" w:rsidP="00655670">
      <w:pPr>
        <w:pStyle w:val="Lijstalinea"/>
        <w:widowControl w:val="0"/>
        <w:numPr>
          <w:ilvl w:val="0"/>
          <w:numId w:val="2"/>
        </w:numPr>
        <w:autoSpaceDE w:val="0"/>
        <w:autoSpaceDN w:val="0"/>
        <w:adjustRightInd w:val="0"/>
        <w:spacing w:after="0" w:line="240" w:lineRule="auto"/>
        <w:rPr>
          <w:rFonts w:ascii="Verdana" w:eastAsia="Times New Roman" w:hAnsi="Verdana"/>
          <w:sz w:val="18"/>
          <w:szCs w:val="18"/>
          <w:lang w:val="en-US"/>
        </w:rPr>
      </w:pPr>
      <w:r w:rsidRPr="00DE79CB">
        <w:rPr>
          <w:rFonts w:ascii="Verdana" w:eastAsia="Times New Roman" w:hAnsi="Verdana"/>
          <w:sz w:val="18"/>
          <w:szCs w:val="18"/>
          <w:lang w:val="en-GB"/>
        </w:rPr>
        <w:t>conducting business with respect for human rights;</w:t>
      </w:r>
    </w:p>
    <w:p w14:paraId="77F27D12" w14:textId="77777777" w:rsidR="00636960" w:rsidRPr="00DE79CB" w:rsidRDefault="00636960" w:rsidP="00655670">
      <w:pPr>
        <w:pStyle w:val="Lijstalinea"/>
        <w:widowControl w:val="0"/>
        <w:numPr>
          <w:ilvl w:val="0"/>
          <w:numId w:val="2"/>
        </w:numPr>
        <w:autoSpaceDE w:val="0"/>
        <w:autoSpaceDN w:val="0"/>
        <w:adjustRightInd w:val="0"/>
        <w:spacing w:after="0" w:line="240" w:lineRule="auto"/>
        <w:rPr>
          <w:rFonts w:ascii="Verdana" w:eastAsia="Times New Roman" w:hAnsi="Verdana"/>
          <w:sz w:val="18"/>
          <w:szCs w:val="18"/>
          <w:lang w:val="en-US"/>
        </w:rPr>
      </w:pPr>
      <w:r w:rsidRPr="00DE79CB">
        <w:rPr>
          <w:rFonts w:ascii="Verdana" w:eastAsia="Times New Roman" w:hAnsi="Verdana"/>
          <w:sz w:val="18"/>
          <w:szCs w:val="18"/>
          <w:lang w:val="en-GB"/>
        </w:rPr>
        <w:t>labour rights and compliance with international standards</w:t>
      </w:r>
      <w:r w:rsidRPr="00DE79CB">
        <w:rPr>
          <w:rStyle w:val="Voetnootmarkering"/>
          <w:rFonts w:ascii="Verdana" w:eastAsia="Times New Roman" w:hAnsi="Verdana"/>
          <w:sz w:val="18"/>
          <w:szCs w:val="18"/>
          <w:lang w:val="en-GB"/>
        </w:rPr>
        <w:footnoteReference w:id="30"/>
      </w:r>
      <w:r w:rsidRPr="00DE79CB">
        <w:rPr>
          <w:rFonts w:ascii="Verdana" w:eastAsia="Times New Roman" w:hAnsi="Verdana"/>
          <w:sz w:val="18"/>
          <w:szCs w:val="18"/>
          <w:lang w:val="en-GB"/>
        </w:rPr>
        <w:t xml:space="preserve">;  </w:t>
      </w:r>
    </w:p>
    <w:p w14:paraId="2CB50291" w14:textId="031B33C5" w:rsidR="00636960" w:rsidRPr="00DE79CB" w:rsidRDefault="00636960" w:rsidP="00655670">
      <w:pPr>
        <w:pStyle w:val="Lijstalinea"/>
        <w:widowControl w:val="0"/>
        <w:numPr>
          <w:ilvl w:val="0"/>
          <w:numId w:val="2"/>
        </w:numPr>
        <w:autoSpaceDE w:val="0"/>
        <w:autoSpaceDN w:val="0"/>
        <w:adjustRightInd w:val="0"/>
        <w:spacing w:after="0" w:line="240" w:lineRule="auto"/>
        <w:rPr>
          <w:rFonts w:ascii="Verdana" w:eastAsia="Times New Roman" w:hAnsi="Verdana"/>
          <w:sz w:val="18"/>
          <w:szCs w:val="18"/>
        </w:rPr>
      </w:pPr>
      <w:r w:rsidRPr="00DE79CB">
        <w:rPr>
          <w:rFonts w:ascii="Verdana" w:eastAsia="Times New Roman" w:hAnsi="Verdana"/>
          <w:sz w:val="18"/>
          <w:szCs w:val="18"/>
          <w:lang w:val="en-GB"/>
        </w:rPr>
        <w:t xml:space="preserve">Occupational safety and health; </w:t>
      </w:r>
    </w:p>
    <w:p w14:paraId="37304539" w14:textId="77777777" w:rsidR="00636960" w:rsidRPr="00DE79CB" w:rsidRDefault="00636960" w:rsidP="00655670">
      <w:pPr>
        <w:pStyle w:val="Lijstalinea"/>
        <w:widowControl w:val="0"/>
        <w:numPr>
          <w:ilvl w:val="0"/>
          <w:numId w:val="2"/>
        </w:numPr>
        <w:autoSpaceDE w:val="0"/>
        <w:autoSpaceDN w:val="0"/>
        <w:adjustRightInd w:val="0"/>
        <w:spacing w:after="0" w:line="240" w:lineRule="auto"/>
        <w:rPr>
          <w:rFonts w:ascii="Verdana" w:eastAsia="Times New Roman" w:hAnsi="Verdana"/>
          <w:sz w:val="18"/>
          <w:szCs w:val="18"/>
          <w:lang w:val="en-US"/>
        </w:rPr>
      </w:pPr>
      <w:r w:rsidRPr="00DE79CB">
        <w:rPr>
          <w:rFonts w:ascii="Verdana" w:eastAsia="Times New Roman" w:hAnsi="Verdana"/>
          <w:sz w:val="18"/>
          <w:szCs w:val="18"/>
          <w:lang w:val="en-GB"/>
        </w:rPr>
        <w:t>Working towards a living wage and living income (fair payment).</w:t>
      </w:r>
    </w:p>
    <w:p w14:paraId="51DC7FA9" w14:textId="77777777" w:rsidR="00636960" w:rsidRPr="00DE79CB" w:rsidRDefault="00636960" w:rsidP="00655670">
      <w:pPr>
        <w:pStyle w:val="Lijstalinea"/>
        <w:widowControl w:val="0"/>
        <w:autoSpaceDE w:val="0"/>
        <w:autoSpaceDN w:val="0"/>
        <w:adjustRightInd w:val="0"/>
        <w:spacing w:after="0" w:line="240" w:lineRule="auto"/>
        <w:ind w:left="360"/>
        <w:rPr>
          <w:rFonts w:ascii="Verdana" w:eastAsia="Times New Roman" w:hAnsi="Verdana"/>
          <w:sz w:val="18"/>
          <w:szCs w:val="18"/>
          <w:lang w:val="en-US"/>
        </w:rPr>
      </w:pPr>
    </w:p>
    <w:p w14:paraId="131A5C13" w14:textId="77777777" w:rsidR="00636960" w:rsidRPr="00DE79CB" w:rsidRDefault="00636960" w:rsidP="00655670">
      <w:pPr>
        <w:widowControl w:val="0"/>
        <w:autoSpaceDE w:val="0"/>
        <w:autoSpaceDN w:val="0"/>
        <w:adjustRightInd w:val="0"/>
        <w:spacing w:after="0" w:line="240" w:lineRule="auto"/>
        <w:rPr>
          <w:rFonts w:ascii="Verdana" w:eastAsia="Times New Roman" w:hAnsi="Verdana"/>
          <w:i/>
          <w:sz w:val="18"/>
          <w:szCs w:val="18"/>
          <w:lang w:val="en-US"/>
        </w:rPr>
      </w:pPr>
      <w:r w:rsidRPr="00DE79CB">
        <w:rPr>
          <w:rFonts w:ascii="Verdana" w:eastAsia="Times New Roman" w:hAnsi="Verdana"/>
          <w:i/>
          <w:iCs/>
          <w:sz w:val="18"/>
          <w:szCs w:val="18"/>
          <w:lang w:val="en-GB"/>
        </w:rPr>
        <w:t xml:space="preserve">Planet: environmental sustainability - greening: </w:t>
      </w:r>
    </w:p>
    <w:p w14:paraId="754B0B08" w14:textId="2A4EFFE5" w:rsidR="00636960" w:rsidRPr="00DE79CB" w:rsidRDefault="00636960" w:rsidP="00655670">
      <w:pPr>
        <w:spacing w:after="0" w:line="240" w:lineRule="auto"/>
        <w:rPr>
          <w:rFonts w:ascii="Verdana" w:eastAsia="Verdana" w:hAnsi="Verdana" w:cs="Verdana"/>
          <w:sz w:val="18"/>
          <w:szCs w:val="18"/>
          <w:lang w:val="en-US"/>
        </w:rPr>
      </w:pPr>
      <w:r w:rsidRPr="00DE79CB">
        <w:rPr>
          <w:rFonts w:ascii="Verdana" w:hAnsi="Verdana"/>
          <w:sz w:val="18"/>
          <w:szCs w:val="18"/>
          <w:lang w:val="en-GB"/>
        </w:rPr>
        <w:t>Responsible use of natural resources, the protection of biodiversity and the living environment. This theme also includes efforts to strengthen resilient, future-proof value chains that are prepared for the impacts of climate change. Measures are considered green if they contribute to the environmental goals of the EU Taxonomy.</w:t>
      </w:r>
      <w:r w:rsidRPr="00DE79CB">
        <w:rPr>
          <w:rStyle w:val="Voetnootmarkering"/>
          <w:rFonts w:ascii="Verdana" w:eastAsia="Times New Roman" w:hAnsi="Verdana"/>
          <w:sz w:val="18"/>
          <w:szCs w:val="18"/>
          <w:lang w:val="en-GB"/>
        </w:rPr>
        <w:footnoteReference w:id="31"/>
      </w:r>
      <w:r w:rsidRPr="00DE79CB">
        <w:rPr>
          <w:rFonts w:ascii="Verdana" w:hAnsi="Verdana"/>
          <w:sz w:val="18"/>
          <w:szCs w:val="18"/>
          <w:lang w:val="en-GB"/>
        </w:rPr>
        <w:t xml:space="preserve"> Moreover, green interventions should always have a positive impact on local beneficiaries.</w:t>
      </w:r>
    </w:p>
    <w:p w14:paraId="5AF332B5" w14:textId="77777777" w:rsidR="00636960" w:rsidRPr="00DE79CB" w:rsidRDefault="00636960" w:rsidP="00655670">
      <w:pPr>
        <w:pStyle w:val="Lijstalinea"/>
        <w:widowControl w:val="0"/>
        <w:autoSpaceDE w:val="0"/>
        <w:autoSpaceDN w:val="0"/>
        <w:adjustRightInd w:val="0"/>
        <w:spacing w:after="0" w:line="240" w:lineRule="auto"/>
        <w:ind w:left="360"/>
        <w:rPr>
          <w:rFonts w:ascii="Verdana" w:eastAsia="Times New Roman" w:hAnsi="Verdana"/>
          <w:sz w:val="18"/>
          <w:szCs w:val="18"/>
          <w:lang w:val="en-US"/>
        </w:rPr>
      </w:pPr>
    </w:p>
    <w:p w14:paraId="3EED2CE2" w14:textId="4AE4C3CB" w:rsidR="00636960" w:rsidRPr="00DE79CB" w:rsidRDefault="00636960" w:rsidP="00655670">
      <w:pPr>
        <w:widowControl w:val="0"/>
        <w:autoSpaceDE w:val="0"/>
        <w:autoSpaceDN w:val="0"/>
        <w:adjustRightInd w:val="0"/>
        <w:spacing w:after="0" w:line="240" w:lineRule="auto"/>
        <w:rPr>
          <w:rFonts w:ascii="Verdana" w:eastAsia="Times New Roman" w:hAnsi="Verdana"/>
          <w:i/>
          <w:sz w:val="18"/>
          <w:szCs w:val="18"/>
          <w:lang w:val="en-US"/>
        </w:rPr>
      </w:pPr>
      <w:r w:rsidRPr="00DE79CB">
        <w:rPr>
          <w:rFonts w:ascii="Verdana" w:eastAsia="Times New Roman" w:hAnsi="Verdana"/>
          <w:i/>
          <w:iCs/>
          <w:sz w:val="18"/>
          <w:szCs w:val="18"/>
          <w:lang w:val="en-GB"/>
        </w:rPr>
        <w:t xml:space="preserve">Profit: economic sustainability - both in production countries (sustainable economic development) and in the Netherlands (Dutch earning capacity) </w:t>
      </w:r>
    </w:p>
    <w:p w14:paraId="41D001A9" w14:textId="212DA643" w:rsidR="00636960" w:rsidRPr="00DE79CB" w:rsidRDefault="00636960" w:rsidP="00655670">
      <w:pPr>
        <w:pStyle w:val="Lijstalinea"/>
        <w:widowControl w:val="0"/>
        <w:numPr>
          <w:ilvl w:val="0"/>
          <w:numId w:val="2"/>
        </w:numPr>
        <w:autoSpaceDE w:val="0"/>
        <w:autoSpaceDN w:val="0"/>
        <w:adjustRightInd w:val="0"/>
        <w:spacing w:after="0" w:line="240" w:lineRule="auto"/>
        <w:rPr>
          <w:rFonts w:ascii="Verdana" w:eastAsia="Times New Roman" w:hAnsi="Verdana"/>
          <w:sz w:val="18"/>
          <w:szCs w:val="18"/>
          <w:lang w:val="en-US"/>
        </w:rPr>
      </w:pPr>
      <w:r w:rsidRPr="00DE79CB">
        <w:rPr>
          <w:rFonts w:ascii="Verdana" w:eastAsia="Times New Roman" w:hAnsi="Verdana"/>
          <w:sz w:val="18"/>
          <w:szCs w:val="18"/>
          <w:lang w:val="en-GB"/>
        </w:rPr>
        <w:t>In production countries, sustainable economic development is promoted through a fairer sharing of costs and benefits within the value chain, addressing imbalances of power and contributing to fairer outcomes throughout the chain.</w:t>
      </w:r>
      <w:r w:rsidRPr="00DE79CB">
        <w:rPr>
          <w:rStyle w:val="Voetnootmarkering"/>
          <w:rFonts w:ascii="Verdana" w:eastAsia="Times New Roman" w:hAnsi="Verdana"/>
          <w:sz w:val="18"/>
          <w:szCs w:val="18"/>
          <w:lang w:val="en-GB"/>
        </w:rPr>
        <w:footnoteReference w:id="32"/>
      </w:r>
      <w:r w:rsidRPr="00DE79CB">
        <w:rPr>
          <w:rFonts w:ascii="Verdana" w:eastAsia="Times New Roman" w:hAnsi="Verdana"/>
          <w:sz w:val="18"/>
          <w:szCs w:val="18"/>
          <w:lang w:val="en-GB"/>
        </w:rPr>
        <w:t xml:space="preserve"> In some cases, additional investment may be required to make local production more resilient and future-proof, for example through local processing or the development of knowledge and skills among future generations.</w:t>
      </w:r>
    </w:p>
    <w:p w14:paraId="2B03E557" w14:textId="3D36B4BA" w:rsidR="00D3770D" w:rsidRPr="00DE79CB" w:rsidRDefault="00D3770D" w:rsidP="00D3770D">
      <w:pPr>
        <w:pStyle w:val="Lijstalinea"/>
        <w:widowControl w:val="0"/>
        <w:numPr>
          <w:ilvl w:val="0"/>
          <w:numId w:val="2"/>
        </w:numPr>
        <w:autoSpaceDE w:val="0"/>
        <w:autoSpaceDN w:val="0"/>
        <w:adjustRightInd w:val="0"/>
        <w:spacing w:after="0" w:line="240" w:lineRule="auto"/>
        <w:rPr>
          <w:rFonts w:ascii="Verdana" w:eastAsia="Times New Roman" w:hAnsi="Verdana"/>
          <w:sz w:val="18"/>
          <w:szCs w:val="18"/>
          <w:lang w:val="en-US"/>
        </w:rPr>
      </w:pPr>
      <w:r w:rsidRPr="00DE79CB">
        <w:rPr>
          <w:rFonts w:ascii="Verdana" w:eastAsia="Times New Roman" w:hAnsi="Verdana"/>
          <w:sz w:val="18"/>
          <w:szCs w:val="18"/>
          <w:lang w:val="en-GB"/>
        </w:rPr>
        <w:t>To ensure that projects are sustainable and to enable market-powered scaling, it is important that projects are also financially viable within the Dutch segment of the value chain and contribute to Dutch earning capacity. This grant programme primarily targets robust, resilient value chains and stable goods supplies to the Netherlands in compliance with European legislation on International Responsible Business Conduct.</w:t>
      </w:r>
    </w:p>
    <w:p w14:paraId="3EA3F49B" w14:textId="4F57508B" w:rsidR="00636960" w:rsidRPr="00DE79CB" w:rsidRDefault="00636960" w:rsidP="00655670">
      <w:pPr>
        <w:spacing w:after="0" w:line="240" w:lineRule="auto"/>
        <w:rPr>
          <w:rFonts w:ascii="Verdana" w:eastAsia="Verdana" w:hAnsi="Verdana" w:cs="Verdana"/>
          <w:b/>
          <w:bCs/>
          <w:sz w:val="18"/>
          <w:szCs w:val="18"/>
          <w:lang w:val="en-US"/>
        </w:rPr>
      </w:pPr>
      <w:r w:rsidRPr="00DE79CB">
        <w:rPr>
          <w:rFonts w:ascii="Verdana" w:eastAsia="Verdana" w:hAnsi="Verdana" w:cs="Verdana"/>
          <w:b/>
          <w:bCs/>
          <w:sz w:val="18"/>
          <w:szCs w:val="18"/>
          <w:lang w:val="en-GB"/>
        </w:rPr>
        <w:br w:type="page"/>
      </w:r>
    </w:p>
    <w:p w14:paraId="2B8CE88C" w14:textId="362CB79A" w:rsidR="00476573" w:rsidRPr="00DE79CB" w:rsidRDefault="00E04C80" w:rsidP="00655670">
      <w:pPr>
        <w:spacing w:after="0" w:line="240" w:lineRule="auto"/>
        <w:rPr>
          <w:rFonts w:ascii="Verdana" w:eastAsia="Verdana" w:hAnsi="Verdana" w:cs="Verdana"/>
          <w:b/>
          <w:bCs/>
          <w:sz w:val="18"/>
          <w:szCs w:val="18"/>
          <w:lang w:val="en-US"/>
        </w:rPr>
      </w:pPr>
      <w:r w:rsidRPr="00DE79CB">
        <w:rPr>
          <w:rFonts w:ascii="Verdana" w:eastAsia="Verdana" w:hAnsi="Verdana" w:cs="Verdana"/>
          <w:b/>
          <w:bCs/>
          <w:sz w:val="18"/>
          <w:szCs w:val="18"/>
          <w:lang w:val="en-GB"/>
        </w:rPr>
        <w:lastRenderedPageBreak/>
        <w:t>Appendix 3 - MEL system</w:t>
      </w:r>
    </w:p>
    <w:p w14:paraId="485E0EEE" w14:textId="77777777" w:rsidR="00E04C80" w:rsidRPr="00DE79CB" w:rsidRDefault="00E04C80" w:rsidP="00655670">
      <w:pPr>
        <w:spacing w:after="0" w:line="240" w:lineRule="auto"/>
        <w:rPr>
          <w:rFonts w:ascii="Verdana" w:eastAsia="Verdana" w:hAnsi="Verdana" w:cs="Verdana"/>
          <w:sz w:val="18"/>
          <w:szCs w:val="18"/>
          <w:lang w:val="en-US"/>
        </w:rPr>
      </w:pPr>
    </w:p>
    <w:p w14:paraId="1664D4B7" w14:textId="5AF87065" w:rsidR="00D2437B" w:rsidRPr="00DE79CB" w:rsidRDefault="00E04C80"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 xml:space="preserve">Applicants must submit a MEL system design with their application, outlining intervention logic, a results framework, assumptions, and risks. The MEL approach fosters a learning and adaptive mindset, with regular reflection on progress achieved and the systematic identification and sharing of lessons learned for further implementation. </w:t>
      </w:r>
    </w:p>
    <w:p w14:paraId="1EA2E477" w14:textId="77777777" w:rsidR="00D2437B" w:rsidRPr="00DE79CB" w:rsidRDefault="00D2437B" w:rsidP="00655670">
      <w:pPr>
        <w:spacing w:after="0" w:line="240" w:lineRule="auto"/>
        <w:rPr>
          <w:rFonts w:ascii="Verdana" w:eastAsia="Verdana" w:hAnsi="Verdana" w:cs="Verdana"/>
          <w:sz w:val="18"/>
          <w:szCs w:val="18"/>
          <w:lang w:val="en-US"/>
        </w:rPr>
      </w:pPr>
    </w:p>
    <w:p w14:paraId="4D6F8E5D" w14:textId="6E9D3AD8" w:rsidR="00E04C80" w:rsidRPr="00DE79CB" w:rsidRDefault="00E04C80" w:rsidP="00655670">
      <w:pPr>
        <w:spacing w:after="0" w:line="240" w:lineRule="auto"/>
        <w:rPr>
          <w:rFonts w:ascii="Verdana" w:eastAsia="Verdana" w:hAnsi="Verdana" w:cs="Verdana"/>
          <w:sz w:val="18"/>
          <w:szCs w:val="18"/>
          <w:lang w:val="en-US"/>
        </w:rPr>
      </w:pPr>
      <w:r w:rsidRPr="00DE79CB">
        <w:rPr>
          <w:rFonts w:ascii="Verdana" w:hAnsi="Verdana"/>
          <w:sz w:val="18"/>
          <w:szCs w:val="18"/>
          <w:lang w:val="en-GB"/>
        </w:rPr>
        <w:t xml:space="preserve">The MEL system is subsequently fine-tuned during the inception phase, at which point it should form a coherent system with concrete and clearly formulated impacts, outcomes, outputs and pathways aligned with the overarching Focus policy framework and this grant programme. Where possible, RVO will encourage and facilitate coordination between projects to create synergies and harmonise indicators where possible. Grant recipients themselves bear the responsibility for monitoring and learning throughout the duration of the project. </w:t>
      </w:r>
    </w:p>
    <w:p w14:paraId="6668D868" w14:textId="05F916F4" w:rsidR="005971C6" w:rsidRPr="00DE79CB" w:rsidRDefault="005971C6" w:rsidP="00655670">
      <w:pPr>
        <w:pStyle w:val="TableParagraph"/>
        <w:ind w:left="0"/>
        <w:rPr>
          <w:sz w:val="18"/>
          <w:szCs w:val="18"/>
          <w:lang w:val="en-US"/>
        </w:rPr>
      </w:pPr>
    </w:p>
    <w:p w14:paraId="6D16A2B6" w14:textId="72725ECB" w:rsidR="005971C6" w:rsidRPr="00DE79CB" w:rsidRDefault="00F846EA" w:rsidP="00655670">
      <w:pPr>
        <w:pStyle w:val="TableParagraph"/>
        <w:ind w:left="0"/>
        <w:rPr>
          <w:sz w:val="18"/>
          <w:szCs w:val="18"/>
          <w:lang w:val="en-US"/>
        </w:rPr>
      </w:pPr>
      <w:r w:rsidRPr="00DE79CB">
        <w:rPr>
          <w:sz w:val="18"/>
          <w:szCs w:val="18"/>
          <w:lang w:val="en-GB"/>
        </w:rPr>
        <w:t>The indicators in the MEL framework must be aligned with the objective of the grant programme, as outlined in section 4.1. In addition, applicants are required to include four overarching Focus indicators in their MEL framework:</w:t>
      </w:r>
    </w:p>
    <w:p w14:paraId="186D0C77" w14:textId="77777777" w:rsidR="005971C6" w:rsidRPr="00DE79CB" w:rsidRDefault="005971C6" w:rsidP="00655670">
      <w:pPr>
        <w:pStyle w:val="TableParagraph"/>
        <w:ind w:left="360"/>
        <w:rPr>
          <w:sz w:val="18"/>
          <w:szCs w:val="18"/>
          <w:lang w:val="en-US"/>
        </w:rPr>
      </w:pPr>
    </w:p>
    <w:p w14:paraId="2A83FDE2" w14:textId="77777777" w:rsidR="005971C6" w:rsidRPr="00DE79CB" w:rsidRDefault="005971C6" w:rsidP="00655670">
      <w:pPr>
        <w:pStyle w:val="TableParagraph"/>
        <w:numPr>
          <w:ilvl w:val="0"/>
          <w:numId w:val="21"/>
        </w:numPr>
        <w:rPr>
          <w:sz w:val="18"/>
          <w:szCs w:val="18"/>
          <w:lang w:val="en-US"/>
        </w:rPr>
      </w:pPr>
      <w:r w:rsidRPr="00DE79CB">
        <w:rPr>
          <w:sz w:val="18"/>
          <w:szCs w:val="18"/>
          <w:lang w:val="en-GB"/>
        </w:rPr>
        <w:t># of in-country partners reached through capacity-building activities.</w:t>
      </w:r>
    </w:p>
    <w:p w14:paraId="7FB2BB3F" w14:textId="399E3A55" w:rsidR="005971C6" w:rsidRPr="00DE79CB" w:rsidRDefault="00644836" w:rsidP="00655670">
      <w:pPr>
        <w:pStyle w:val="TableParagraph"/>
        <w:numPr>
          <w:ilvl w:val="0"/>
          <w:numId w:val="21"/>
        </w:numPr>
        <w:rPr>
          <w:sz w:val="18"/>
          <w:szCs w:val="18"/>
          <w:lang w:val="en-US"/>
        </w:rPr>
      </w:pPr>
      <w:r w:rsidRPr="00DE79CB">
        <w:rPr>
          <w:sz w:val="18"/>
          <w:szCs w:val="18"/>
          <w:lang w:val="en-GB"/>
        </w:rPr>
        <w:t xml:space="preserve">Funding (in €) from the Ministry of Foreign Affairs provided to local organisations directly or through no more than one intermediary layer. Qualitative: The degree to which the target group has been involved in developing the programme, reviewing progress and planning activities. </w:t>
      </w:r>
    </w:p>
    <w:p w14:paraId="06C65F45" w14:textId="2ABDBD8E" w:rsidR="005971C6" w:rsidRPr="00DE79CB" w:rsidRDefault="005971C6" w:rsidP="00655670">
      <w:pPr>
        <w:pStyle w:val="TableParagraph"/>
        <w:numPr>
          <w:ilvl w:val="0"/>
          <w:numId w:val="21"/>
        </w:numPr>
        <w:rPr>
          <w:sz w:val="18"/>
          <w:szCs w:val="18"/>
          <w:lang w:val="en-US"/>
        </w:rPr>
      </w:pPr>
      <w:r w:rsidRPr="00DE79CB">
        <w:rPr>
          <w:sz w:val="18"/>
          <w:szCs w:val="18"/>
          <w:lang w:val="en-GB"/>
        </w:rPr>
        <w:t>Qualitative: The degree to which gender considerations were incorporated in the design, implementation and monitoring of the project.</w:t>
      </w:r>
    </w:p>
    <w:p w14:paraId="03418574" w14:textId="77777777" w:rsidR="005971C6" w:rsidRPr="00DE79CB" w:rsidRDefault="005971C6" w:rsidP="00655670">
      <w:pPr>
        <w:pStyle w:val="TableParagraph"/>
        <w:ind w:left="0"/>
        <w:rPr>
          <w:sz w:val="18"/>
          <w:szCs w:val="18"/>
          <w:lang w:val="en-US"/>
        </w:rPr>
      </w:pPr>
    </w:p>
    <w:p w14:paraId="03A96D24" w14:textId="2FEF1952" w:rsidR="005971C6" w:rsidRPr="00DE79CB" w:rsidRDefault="005971C6" w:rsidP="00655670">
      <w:pPr>
        <w:pStyle w:val="TableParagraph"/>
        <w:ind w:left="0"/>
        <w:rPr>
          <w:sz w:val="18"/>
          <w:szCs w:val="18"/>
          <w:lang w:val="en-US"/>
        </w:rPr>
      </w:pPr>
      <w:r w:rsidRPr="00DE79CB">
        <w:rPr>
          <w:sz w:val="18"/>
          <w:szCs w:val="18"/>
          <w:lang w:val="en-GB"/>
        </w:rPr>
        <w:t>The methodological notes for these indicators will be made available as part of the grant award decision.</w:t>
      </w:r>
    </w:p>
    <w:p w14:paraId="04A7C855" w14:textId="77777777" w:rsidR="00DD683C" w:rsidRPr="00DE79CB" w:rsidRDefault="00DD683C" w:rsidP="00655670">
      <w:pPr>
        <w:spacing w:after="0" w:line="240" w:lineRule="auto"/>
        <w:rPr>
          <w:rFonts w:ascii="Verdana" w:eastAsia="Verdana" w:hAnsi="Verdana" w:cs="Verdana"/>
          <w:sz w:val="18"/>
          <w:szCs w:val="18"/>
          <w:lang w:val="en-US"/>
        </w:rPr>
      </w:pPr>
    </w:p>
    <w:p w14:paraId="7C3796FA" w14:textId="08E2214C" w:rsidR="00A414DB" w:rsidRPr="00DE79CB" w:rsidRDefault="00DD683C"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The Ministry of Foreign Affairs will conduct an external, Focus-wide baseline study and Mid-Term Evaluation.</w:t>
      </w:r>
    </w:p>
    <w:p w14:paraId="197E5E5E" w14:textId="77777777" w:rsidR="00A414DB" w:rsidRPr="00DE79CB" w:rsidRDefault="00A414DB" w:rsidP="00655670">
      <w:pPr>
        <w:spacing w:after="0" w:line="240" w:lineRule="auto"/>
        <w:rPr>
          <w:rFonts w:ascii="Verdana" w:eastAsia="Verdana" w:hAnsi="Verdana" w:cs="Verdana"/>
          <w:sz w:val="18"/>
          <w:szCs w:val="18"/>
          <w:lang w:val="en-US"/>
        </w:rPr>
      </w:pPr>
    </w:p>
    <w:p w14:paraId="1723679A" w14:textId="77777777" w:rsidR="0012337F" w:rsidRPr="00DE79CB" w:rsidRDefault="0012337F" w:rsidP="00655670">
      <w:pPr>
        <w:spacing w:after="0" w:line="240" w:lineRule="auto"/>
        <w:rPr>
          <w:rFonts w:ascii="Verdana" w:eastAsia="Verdana" w:hAnsi="Verdana" w:cs="Verdana"/>
          <w:b/>
          <w:bCs/>
          <w:sz w:val="18"/>
          <w:szCs w:val="18"/>
          <w:lang w:val="en-US"/>
        </w:rPr>
      </w:pPr>
      <w:r w:rsidRPr="00DE79CB">
        <w:rPr>
          <w:rFonts w:ascii="Verdana" w:eastAsia="Verdana" w:hAnsi="Verdana" w:cs="Verdana"/>
          <w:b/>
          <w:bCs/>
          <w:sz w:val="18"/>
          <w:szCs w:val="18"/>
          <w:lang w:val="en-GB"/>
        </w:rPr>
        <w:br w:type="page"/>
      </w:r>
    </w:p>
    <w:p w14:paraId="2D6CED1E" w14:textId="324D499B" w:rsidR="00A414DB" w:rsidRPr="00DE79CB" w:rsidRDefault="00012825" w:rsidP="00655670">
      <w:pPr>
        <w:spacing w:after="0" w:line="240" w:lineRule="auto"/>
        <w:rPr>
          <w:rFonts w:ascii="Verdana" w:eastAsia="Verdana" w:hAnsi="Verdana" w:cs="Verdana"/>
          <w:b/>
          <w:bCs/>
          <w:sz w:val="18"/>
          <w:szCs w:val="18"/>
          <w:lang w:val="en-US"/>
        </w:rPr>
      </w:pPr>
      <w:r w:rsidRPr="00DE79CB">
        <w:rPr>
          <w:rFonts w:ascii="Verdana" w:eastAsia="Verdana" w:hAnsi="Verdana" w:cs="Verdana"/>
          <w:b/>
          <w:bCs/>
          <w:sz w:val="18"/>
          <w:szCs w:val="18"/>
          <w:lang w:val="en-GB"/>
        </w:rPr>
        <w:lastRenderedPageBreak/>
        <w:t xml:space="preserve">Appendix </w:t>
      </w:r>
      <w:r w:rsidR="00A414DB" w:rsidRPr="00DE79CB">
        <w:rPr>
          <w:rFonts w:ascii="Verdana" w:eastAsia="Verdana" w:hAnsi="Verdana" w:cs="Verdana"/>
          <w:b/>
          <w:bCs/>
          <w:sz w:val="18"/>
          <w:szCs w:val="18"/>
          <w:lang w:val="en-GB"/>
        </w:rPr>
        <w:t>4 – Financial independence of applicants and size of applications</w:t>
      </w:r>
    </w:p>
    <w:p w14:paraId="63DA0AAD" w14:textId="44AC9F6D" w:rsidR="00A414DB" w:rsidRPr="00DE79CB" w:rsidRDefault="00A414DB" w:rsidP="00655670">
      <w:pPr>
        <w:spacing w:after="0" w:line="240" w:lineRule="auto"/>
        <w:rPr>
          <w:rFonts w:ascii="Verdana" w:eastAsia="Verdana" w:hAnsi="Verdana" w:cs="Verdana"/>
          <w:sz w:val="18"/>
          <w:szCs w:val="18"/>
          <w:lang w:val="en-US"/>
        </w:rPr>
      </w:pPr>
      <w:r w:rsidRPr="00DE79CB">
        <w:rPr>
          <w:rFonts w:ascii="Verdana" w:eastAsia="Verdana" w:hAnsi="Verdana" w:cs="Verdana"/>
          <w:b/>
          <w:bCs/>
          <w:sz w:val="18"/>
          <w:szCs w:val="18"/>
          <w:lang w:val="en-GB"/>
        </w:rPr>
        <w:t xml:space="preserve">  </w:t>
      </w:r>
    </w:p>
    <w:p w14:paraId="526107A2" w14:textId="1B10DE44" w:rsidR="00A414DB" w:rsidRPr="00DE79CB" w:rsidRDefault="000C6293" w:rsidP="00655670">
      <w:pPr>
        <w:spacing w:after="0" w:line="240" w:lineRule="auto"/>
        <w:rPr>
          <w:rFonts w:ascii="Verdana" w:eastAsia="Verdana" w:hAnsi="Verdana" w:cs="Verdana"/>
          <w:sz w:val="18"/>
          <w:szCs w:val="18"/>
        </w:rPr>
      </w:pPr>
      <w:r w:rsidRPr="00DE79CB">
        <w:rPr>
          <w:rFonts w:ascii="Verdana" w:eastAsia="Verdana" w:hAnsi="Verdana" w:cs="Verdana"/>
          <w:sz w:val="18"/>
          <w:szCs w:val="18"/>
          <w:lang w:val="en-GB"/>
        </w:rPr>
        <w:t>To qualify for a grant under this grant programme, applicants must demonstrate that, on average, at least 25% of its total annual income during the period 2022–2024 was derived from sources other than the Dutch Ministry of Foreign Affairs. ‘Income from the Ministry of Foreign Affairs’ includes:</w:t>
      </w:r>
    </w:p>
    <w:p w14:paraId="33FA66CB" w14:textId="77777777" w:rsidR="00C974A2" w:rsidRPr="00DE79CB" w:rsidRDefault="00C974A2" w:rsidP="00655670">
      <w:pPr>
        <w:spacing w:after="0" w:line="240" w:lineRule="auto"/>
        <w:rPr>
          <w:rFonts w:ascii="Verdana" w:eastAsia="Verdana" w:hAnsi="Verdana" w:cs="Verdana"/>
          <w:sz w:val="18"/>
          <w:szCs w:val="18"/>
        </w:rPr>
      </w:pPr>
    </w:p>
    <w:p w14:paraId="2B723E75" w14:textId="14F7734A" w:rsidR="000C6293" w:rsidRPr="00DE79CB" w:rsidRDefault="00A414DB" w:rsidP="00655670">
      <w:pPr>
        <w:pStyle w:val="Lijstalinea"/>
        <w:numPr>
          <w:ilvl w:val="0"/>
          <w:numId w:val="23"/>
        </w:num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 xml:space="preserve">All direct grants and/or contributions received from the budget of the Ministry of Foreign Affairs or from the budget for Foreign Trade and Development Cooperation, including funds obtained via organisations mandated by the Ministry. </w:t>
      </w:r>
    </w:p>
    <w:p w14:paraId="0A9BEB9E" w14:textId="77777777" w:rsidR="00C974A2" w:rsidRPr="00DE79CB" w:rsidRDefault="00C974A2" w:rsidP="00655670">
      <w:pPr>
        <w:pStyle w:val="Lijstalinea"/>
        <w:spacing w:after="0" w:line="240" w:lineRule="auto"/>
        <w:ind w:left="360"/>
        <w:rPr>
          <w:rFonts w:ascii="Verdana" w:eastAsia="Verdana" w:hAnsi="Verdana" w:cs="Verdana"/>
          <w:sz w:val="18"/>
          <w:szCs w:val="18"/>
          <w:lang w:val="en-US"/>
        </w:rPr>
      </w:pPr>
    </w:p>
    <w:p w14:paraId="50FD1015" w14:textId="157A29A2" w:rsidR="000C6293" w:rsidRPr="00DE79CB" w:rsidRDefault="00A414DB" w:rsidP="00655670">
      <w:pPr>
        <w:pStyle w:val="Lijstalinea"/>
        <w:spacing w:after="0" w:line="240" w:lineRule="auto"/>
        <w:ind w:left="360"/>
        <w:rPr>
          <w:rFonts w:ascii="Verdana" w:eastAsia="Verdana" w:hAnsi="Verdana" w:cs="Verdana"/>
          <w:sz w:val="18"/>
          <w:szCs w:val="18"/>
          <w:lang w:val="en-US"/>
        </w:rPr>
      </w:pPr>
      <w:r w:rsidRPr="00DE79CB">
        <w:rPr>
          <w:rFonts w:ascii="Verdana" w:eastAsia="Verdana" w:hAnsi="Verdana" w:cs="Verdana"/>
          <w:sz w:val="18"/>
          <w:szCs w:val="18"/>
          <w:lang w:val="en-GB"/>
        </w:rPr>
        <w:t>Organisations acting as the lead organisation of a partnership that have received a grant or contribution on behalf of that alliance or consortium may deduct from their MFA income the portion of those MFA funds that was passed directly to other organisations within the partnership.</w:t>
      </w:r>
    </w:p>
    <w:p w14:paraId="26DFBFE6" w14:textId="77777777" w:rsidR="00C974A2" w:rsidRPr="00DE79CB" w:rsidRDefault="00C974A2" w:rsidP="00655670">
      <w:pPr>
        <w:pStyle w:val="Lijstalinea"/>
        <w:spacing w:after="0" w:line="240" w:lineRule="auto"/>
        <w:ind w:left="360"/>
        <w:rPr>
          <w:rFonts w:ascii="Verdana" w:eastAsia="Verdana" w:hAnsi="Verdana" w:cs="Verdana"/>
          <w:sz w:val="18"/>
          <w:szCs w:val="18"/>
          <w:lang w:val="en-US"/>
        </w:rPr>
      </w:pPr>
    </w:p>
    <w:p w14:paraId="437FA862" w14:textId="07AD4782" w:rsidR="00A414DB" w:rsidRPr="00DE79CB" w:rsidRDefault="00A414DB" w:rsidP="00655670">
      <w:pPr>
        <w:pStyle w:val="Lijstalinea"/>
        <w:numPr>
          <w:ilvl w:val="0"/>
          <w:numId w:val="23"/>
        </w:num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All funds received by an organisation as a member of a partnership from the lead organisation that received a grant or contribution from the Ministry of Foreign Affairs or the budget for Foreign Trade and Development Cooperation, for activities financed from that grant or contribution.</w:t>
      </w:r>
    </w:p>
    <w:p w14:paraId="047E08CE" w14:textId="77777777" w:rsidR="00C974A2" w:rsidRPr="00DE79CB" w:rsidRDefault="00C974A2" w:rsidP="00655670">
      <w:pPr>
        <w:spacing w:after="0" w:line="240" w:lineRule="auto"/>
        <w:rPr>
          <w:rFonts w:ascii="Verdana" w:eastAsia="Verdana" w:hAnsi="Verdana" w:cs="Verdana"/>
          <w:sz w:val="18"/>
          <w:szCs w:val="18"/>
          <w:lang w:val="en-US"/>
        </w:rPr>
      </w:pPr>
    </w:p>
    <w:p w14:paraId="136BA227" w14:textId="255B43AC" w:rsidR="00A414DB" w:rsidRPr="00DE79CB" w:rsidRDefault="00A414DB"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Applicants that meet this minimum percentage of 25% ‘non-MFA income’ may receive, per year, a grant or contribution not exceeding the average annual amount of ‘non-MFA income’ received in 2022, 2023 and 2024. Over the total project period, this amounts to five times that figure, since grants are awarded for five years. Naturally, no grants will be awarded that exceed the ceiling available for the grant programme under which the grant is requested.</w:t>
      </w:r>
    </w:p>
    <w:p w14:paraId="5895339A" w14:textId="77777777" w:rsidR="00C974A2" w:rsidRPr="00DE79CB" w:rsidRDefault="00C974A2" w:rsidP="00655670">
      <w:pPr>
        <w:spacing w:after="0" w:line="240" w:lineRule="auto"/>
        <w:rPr>
          <w:rFonts w:ascii="Verdana" w:eastAsia="Verdana" w:hAnsi="Verdana" w:cs="Verdana"/>
          <w:sz w:val="18"/>
          <w:szCs w:val="18"/>
          <w:lang w:val="en-US"/>
        </w:rPr>
      </w:pPr>
    </w:p>
    <w:p w14:paraId="045CA29A" w14:textId="77777777" w:rsidR="00063359" w:rsidRPr="00DE79CB" w:rsidRDefault="00A414DB" w:rsidP="00655670">
      <w:pPr>
        <w:spacing w:after="0" w:line="240" w:lineRule="auto"/>
        <w:rPr>
          <w:rFonts w:ascii="Verdana" w:eastAsia="Verdana" w:hAnsi="Verdana" w:cs="Verdana"/>
          <w:sz w:val="18"/>
          <w:szCs w:val="18"/>
          <w:lang w:val="en-GB"/>
        </w:rPr>
      </w:pPr>
      <w:r w:rsidRPr="00DE79CB">
        <w:rPr>
          <w:rFonts w:ascii="Verdana" w:eastAsia="Verdana" w:hAnsi="Verdana" w:cs="Verdana"/>
          <w:sz w:val="18"/>
          <w:szCs w:val="18"/>
          <w:lang w:val="en-GB"/>
        </w:rPr>
        <w:t>To demonstrate compliance with the financial independence requirement</w:t>
      </w:r>
      <w:r w:rsidR="00063359" w:rsidRPr="00DE79CB">
        <w:rPr>
          <w:rFonts w:ascii="Verdana" w:eastAsia="Verdana" w:hAnsi="Verdana" w:cs="Verdana"/>
          <w:sz w:val="18"/>
          <w:szCs w:val="18"/>
          <w:lang w:val="en-GB"/>
        </w:rPr>
        <w:t>:</w:t>
      </w:r>
    </w:p>
    <w:p w14:paraId="11E2861F" w14:textId="31D2A329" w:rsidR="00063359" w:rsidRPr="00DE79CB" w:rsidRDefault="00063359" w:rsidP="00063359">
      <w:pPr>
        <w:pStyle w:val="Lijstalinea"/>
        <w:numPr>
          <w:ilvl w:val="0"/>
          <w:numId w:val="53"/>
        </w:num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The applicant completes Table 1 in Annex 5 to the application form, in accordance with the explanation and instructions contained in that Annex;</w:t>
      </w:r>
    </w:p>
    <w:p w14:paraId="2D554298" w14:textId="2E23BF0F" w:rsidR="00C974A2" w:rsidRPr="00DE79CB" w:rsidRDefault="00A414DB" w:rsidP="003C297D">
      <w:pPr>
        <w:pStyle w:val="Lijstalinea"/>
        <w:numPr>
          <w:ilvl w:val="0"/>
          <w:numId w:val="53"/>
        </w:num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applicants must submit audited annual accounts for 2022, 2023 and 2024</w:t>
      </w:r>
      <w:r w:rsidR="00063359" w:rsidRPr="00DE79CB">
        <w:rPr>
          <w:rFonts w:ascii="Verdana" w:eastAsia="Verdana" w:hAnsi="Verdana" w:cs="Verdana"/>
          <w:sz w:val="18"/>
          <w:szCs w:val="18"/>
          <w:lang w:val="en-GB"/>
        </w:rPr>
        <w:t>, in which the information entered by the applicant in Table 1 is clearly traceable</w:t>
      </w:r>
      <w:r w:rsidRPr="00DE79CB">
        <w:rPr>
          <w:rFonts w:ascii="Verdana" w:eastAsia="Verdana" w:hAnsi="Verdana" w:cs="Verdana"/>
          <w:sz w:val="18"/>
          <w:szCs w:val="18"/>
          <w:lang w:val="en-GB"/>
        </w:rPr>
        <w:t xml:space="preserve">. </w:t>
      </w:r>
      <w:r w:rsidR="00063359" w:rsidRPr="00DE79CB">
        <w:rPr>
          <w:rFonts w:ascii="Verdana" w:eastAsia="Verdana" w:hAnsi="Verdana" w:cs="Verdana"/>
          <w:sz w:val="18"/>
          <w:szCs w:val="18"/>
          <w:lang w:val="en-GB"/>
        </w:rPr>
        <w:t>Where the applicant cannot provide audited annual accounts</w:t>
      </w:r>
      <w:r w:rsidRPr="00DE79CB">
        <w:rPr>
          <w:rFonts w:ascii="Verdana" w:eastAsia="Verdana" w:hAnsi="Verdana" w:cs="Verdana"/>
          <w:sz w:val="18"/>
          <w:szCs w:val="18"/>
          <w:lang w:val="en-GB"/>
        </w:rPr>
        <w:t xml:space="preserve">, the applicant must provide a justification for the absence of audited accounts. </w:t>
      </w:r>
    </w:p>
    <w:p w14:paraId="3ACFBC25" w14:textId="77777777" w:rsidR="00E04C80" w:rsidRPr="00DE79CB" w:rsidRDefault="00E04C80" w:rsidP="00655670">
      <w:pPr>
        <w:spacing w:after="0" w:line="240" w:lineRule="auto"/>
        <w:rPr>
          <w:rFonts w:ascii="Verdana" w:eastAsia="Verdana" w:hAnsi="Verdana" w:cs="Verdana"/>
          <w:sz w:val="18"/>
          <w:szCs w:val="18"/>
          <w:lang w:val="en-US"/>
        </w:rPr>
      </w:pPr>
    </w:p>
    <w:p w14:paraId="4F1175A7" w14:textId="5ACE3A3C" w:rsidR="00BA4B09" w:rsidRPr="00DE79CB" w:rsidRDefault="00BA4B09" w:rsidP="00655670">
      <w:pPr>
        <w:spacing w:after="0" w:line="240" w:lineRule="auto"/>
        <w:rPr>
          <w:rFonts w:ascii="Verdana" w:eastAsia="Verdana" w:hAnsi="Verdana" w:cs="Verdana"/>
          <w:i/>
          <w:sz w:val="18"/>
          <w:szCs w:val="18"/>
          <w:lang w:val="en-US"/>
        </w:rPr>
      </w:pPr>
      <w:r w:rsidRPr="00DE79CB">
        <w:rPr>
          <w:rFonts w:ascii="Verdana" w:eastAsia="Verdana" w:hAnsi="Verdana" w:cs="Verdana"/>
          <w:i/>
          <w:iCs/>
          <w:sz w:val="18"/>
          <w:szCs w:val="18"/>
          <w:lang w:val="en-GB"/>
        </w:rPr>
        <w:t>Exceptions</w:t>
      </w:r>
    </w:p>
    <w:p w14:paraId="11000868" w14:textId="6C6A8F89" w:rsidR="000C6293" w:rsidRPr="00DE79CB" w:rsidRDefault="000C6293"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As clarified above, specialist organisations and small southern organisations are exempt from the financial independence requirements. For both categories, the requirement that at least 25% of their total income in 2022, 2023 and 2024 must have come from sources other than the Ministry of Foreign Affairs or the budget for Foreign Trade and Development Cooperation does not apply. Moreover, they may be eligible to receive a higher annual amount than the average of their non-MFA income over the past three years.</w:t>
      </w:r>
    </w:p>
    <w:p w14:paraId="68FFA0D4" w14:textId="77777777" w:rsidR="000C6293" w:rsidRPr="00DE79CB" w:rsidRDefault="000C6293" w:rsidP="00655670">
      <w:pPr>
        <w:spacing w:after="0" w:line="240" w:lineRule="auto"/>
        <w:rPr>
          <w:rFonts w:ascii="Verdana" w:eastAsia="Verdana" w:hAnsi="Verdana" w:cs="Verdana"/>
          <w:sz w:val="18"/>
          <w:szCs w:val="18"/>
          <w:lang w:val="en-US"/>
        </w:rPr>
      </w:pPr>
    </w:p>
    <w:p w14:paraId="0442D24D" w14:textId="6F9CDE77" w:rsidR="00BA4B09" w:rsidRPr="00DE79CB" w:rsidRDefault="00BA4B09" w:rsidP="00655670">
      <w:pPr>
        <w:spacing w:after="0" w:line="240" w:lineRule="auto"/>
        <w:rPr>
          <w:rFonts w:ascii="Verdana" w:eastAsia="Verdana" w:hAnsi="Verdana" w:cs="Verdana"/>
          <w:sz w:val="18"/>
          <w:szCs w:val="18"/>
          <w:u w:val="single"/>
          <w:lang w:val="en-US"/>
        </w:rPr>
      </w:pPr>
      <w:r w:rsidRPr="00DE79CB">
        <w:rPr>
          <w:rFonts w:ascii="Verdana" w:eastAsia="Verdana" w:hAnsi="Verdana" w:cs="Verdana"/>
          <w:sz w:val="18"/>
          <w:szCs w:val="18"/>
          <w:u w:val="single"/>
          <w:lang w:val="en-GB"/>
        </w:rPr>
        <w:t>Specialist organisation</w:t>
      </w:r>
    </w:p>
    <w:p w14:paraId="01C6757D" w14:textId="54BAD407" w:rsidR="00BA4B09" w:rsidRPr="00DE79CB" w:rsidRDefault="00BA4B09" w:rsidP="00655670">
      <w:pPr>
        <w:spacing w:after="0" w:line="240" w:lineRule="auto"/>
        <w:rPr>
          <w:rFonts w:ascii="Verdana" w:eastAsia="Verdana" w:hAnsi="Verdana" w:cs="Verdana"/>
          <w:sz w:val="18"/>
          <w:szCs w:val="18"/>
        </w:rPr>
      </w:pPr>
      <w:r w:rsidRPr="00DE79CB">
        <w:rPr>
          <w:rFonts w:ascii="Verdana" w:eastAsia="Verdana" w:hAnsi="Verdana" w:cs="Verdana"/>
          <w:sz w:val="18"/>
          <w:szCs w:val="18"/>
          <w:lang w:val="en-GB"/>
        </w:rPr>
        <w:t>In the context of this grant framework, a specialist organisation is defined as a civil society organisation that, compared with other organisations working in the same policy area, distinguishes itself in terms of the focus, nature, and scope of its expertise and experience. Specialist organisations must meet the following two requirements:</w:t>
      </w:r>
    </w:p>
    <w:p w14:paraId="28983463" w14:textId="77777777" w:rsidR="006422C8" w:rsidRPr="00DE79CB" w:rsidRDefault="000C6293" w:rsidP="00655670">
      <w:pPr>
        <w:pStyle w:val="Lijstalinea"/>
        <w:numPr>
          <w:ilvl w:val="0"/>
          <w:numId w:val="24"/>
        </w:num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The organisation must have been active for at least 15 consecutive years (reference date January 1, 2026), working on the core theme of the grant programme under which it is applying for a grant; and</w:t>
      </w:r>
    </w:p>
    <w:p w14:paraId="45C40F87" w14:textId="5DE77841" w:rsidR="00BA4B09" w:rsidRPr="00DE79CB" w:rsidRDefault="006422C8" w:rsidP="003C297D">
      <w:pPr>
        <w:pStyle w:val="Lijstalinea"/>
        <w:numPr>
          <w:ilvl w:val="0"/>
          <w:numId w:val="24"/>
        </w:numPr>
        <w:spacing w:after="0" w:line="240" w:lineRule="auto"/>
        <w:rPr>
          <w:rFonts w:ascii="Verdana" w:eastAsia="Verdana" w:hAnsi="Verdana" w:cs="Verdana"/>
          <w:sz w:val="18"/>
          <w:szCs w:val="18"/>
          <w:lang w:val="en-GB"/>
        </w:rPr>
      </w:pPr>
      <w:r w:rsidRPr="00DE79CB">
        <w:rPr>
          <w:rFonts w:ascii="Verdana" w:eastAsia="Verdana" w:hAnsi="Verdana" w:cs="Verdana"/>
          <w:sz w:val="18"/>
          <w:szCs w:val="18"/>
          <w:lang w:val="en-GB"/>
        </w:rPr>
        <w:t>The organisation must have specialised in that core theme. This must be demonstrated through procedures performed by an external auditor in accordance with the audit protocol published on the RVO website</w:t>
      </w:r>
      <w:r w:rsidRPr="00DE79CB">
        <w:footnoteReference w:id="33"/>
      </w:r>
      <w:r w:rsidRPr="00DE79CB">
        <w:rPr>
          <w:rFonts w:ascii="Verdana" w:eastAsia="Verdana" w:hAnsi="Verdana" w:cs="Verdana"/>
          <w:sz w:val="18"/>
          <w:szCs w:val="18"/>
          <w:lang w:val="en-GB"/>
        </w:rPr>
        <w:t>, resulting in a report of agreed-upon procedures under Standard 4400. Further instructions are given in appendix 5 to the application form.</w:t>
      </w:r>
    </w:p>
    <w:p w14:paraId="1B589602" w14:textId="284EB951" w:rsidR="00BA4B09" w:rsidRPr="00DE79CB" w:rsidRDefault="00BA4B09" w:rsidP="00655670">
      <w:pPr>
        <w:spacing w:after="0" w:line="240" w:lineRule="auto"/>
        <w:rPr>
          <w:rFonts w:ascii="Verdana" w:eastAsia="Verdana" w:hAnsi="Verdana" w:cs="Verdana"/>
          <w:sz w:val="18"/>
          <w:szCs w:val="18"/>
          <w:u w:val="single"/>
          <w:lang w:val="en-US"/>
        </w:rPr>
      </w:pPr>
      <w:r w:rsidRPr="00DE79CB">
        <w:rPr>
          <w:rFonts w:ascii="Verdana" w:eastAsia="Verdana" w:hAnsi="Verdana" w:cs="Verdana"/>
          <w:sz w:val="18"/>
          <w:szCs w:val="18"/>
          <w:u w:val="single"/>
          <w:lang w:val="en-GB"/>
        </w:rPr>
        <w:t>Small southern organisations</w:t>
      </w:r>
    </w:p>
    <w:p w14:paraId="164AF60A" w14:textId="4FA5671E" w:rsidR="00950D51" w:rsidRPr="00DE79CB" w:rsidRDefault="00BA4B09" w:rsidP="00655670">
      <w:pPr>
        <w:spacing w:after="0" w:line="240" w:lineRule="auto"/>
        <w:rPr>
          <w:rFonts w:ascii="Verdana" w:eastAsia="Verdana" w:hAnsi="Verdana" w:cs="Verdana"/>
          <w:sz w:val="18"/>
          <w:szCs w:val="18"/>
          <w:lang w:val="en-US"/>
        </w:rPr>
      </w:pPr>
      <w:r w:rsidRPr="00DE79CB">
        <w:rPr>
          <w:rFonts w:ascii="Verdana" w:eastAsia="Verdana" w:hAnsi="Verdana" w:cs="Verdana"/>
          <w:sz w:val="18"/>
          <w:szCs w:val="18"/>
          <w:lang w:val="en-GB"/>
        </w:rPr>
        <w:t>For the purposes of this grant programme, a small southern organisation is defined as an organisation that (i) has been established and is legally registered in a country included on the OECD-DAC list of low- and middle-income countries, and (ii) has an annual staff budget</w:t>
      </w:r>
      <w:r w:rsidRPr="00DE79CB">
        <w:rPr>
          <w:rStyle w:val="Voetnootmarkering"/>
          <w:rFonts w:ascii="Verdana" w:eastAsia="Verdana" w:hAnsi="Verdana" w:cs="Verdana"/>
          <w:sz w:val="18"/>
          <w:szCs w:val="18"/>
          <w:lang w:val="en-GB"/>
        </w:rPr>
        <w:footnoteReference w:id="34"/>
      </w:r>
      <w:r w:rsidRPr="00DE79CB">
        <w:rPr>
          <w:rFonts w:ascii="Verdana" w:eastAsia="Verdana" w:hAnsi="Verdana" w:cs="Verdana"/>
          <w:sz w:val="18"/>
          <w:szCs w:val="18"/>
          <w:lang w:val="en-GB"/>
        </w:rPr>
        <w:t xml:space="preserve"> not </w:t>
      </w:r>
      <w:r w:rsidRPr="00DE79CB">
        <w:rPr>
          <w:rFonts w:ascii="Verdana" w:eastAsia="Verdana" w:hAnsi="Verdana" w:cs="Verdana"/>
          <w:sz w:val="18"/>
          <w:szCs w:val="18"/>
          <w:lang w:val="en-GB"/>
        </w:rPr>
        <w:lastRenderedPageBreak/>
        <w:t>exceeding EUR 500,000. This must be substantiated by the organisation’s deed of incorporation or articles of association, and by its most recent audited financial report.</w:t>
      </w:r>
      <w:r w:rsidRPr="00DE79CB">
        <w:rPr>
          <w:rFonts w:ascii="Verdana" w:eastAsia="Verdana" w:hAnsi="Verdana" w:cs="Verdana"/>
          <w:sz w:val="18"/>
          <w:szCs w:val="18"/>
          <w:lang w:val="en-GB"/>
        </w:rPr>
        <w:br w:type="page"/>
      </w:r>
    </w:p>
    <w:p w14:paraId="6A44D9FC" w14:textId="5FB75DBD" w:rsidR="0087043B" w:rsidRPr="00DE79CB" w:rsidRDefault="00012825" w:rsidP="00655670">
      <w:pPr>
        <w:spacing w:after="0" w:line="240" w:lineRule="auto"/>
        <w:rPr>
          <w:rFonts w:ascii="Verdana" w:eastAsiaTheme="majorEastAsia" w:hAnsi="Verdana" w:cstheme="majorBidi"/>
          <w:b/>
          <w:sz w:val="18"/>
          <w:szCs w:val="18"/>
          <w:lang w:val="en-US"/>
        </w:rPr>
      </w:pPr>
      <w:r w:rsidRPr="00DE79CB">
        <w:rPr>
          <w:rFonts w:ascii="Verdana" w:hAnsi="Verdana"/>
          <w:b/>
          <w:bCs/>
          <w:sz w:val="18"/>
          <w:szCs w:val="18"/>
          <w:lang w:val="en-GB"/>
        </w:rPr>
        <w:lastRenderedPageBreak/>
        <w:t xml:space="preserve">Appendix </w:t>
      </w:r>
      <w:r w:rsidR="00950D51" w:rsidRPr="00DE79CB">
        <w:rPr>
          <w:rFonts w:ascii="Verdana" w:hAnsi="Verdana"/>
          <w:b/>
          <w:bCs/>
          <w:sz w:val="18"/>
          <w:szCs w:val="18"/>
          <w:lang w:val="en-GB"/>
        </w:rPr>
        <w:t xml:space="preserve">5 - Maximum remuneration </w:t>
      </w:r>
    </w:p>
    <w:p w14:paraId="49998BF8" w14:textId="77777777" w:rsidR="0087043B" w:rsidRPr="00DE79CB" w:rsidRDefault="0087043B" w:rsidP="00655670">
      <w:pPr>
        <w:spacing w:after="0" w:line="240" w:lineRule="auto"/>
        <w:rPr>
          <w:rFonts w:ascii="Verdana" w:hAnsi="Verdana"/>
          <w:sz w:val="18"/>
          <w:szCs w:val="18"/>
          <w:lang w:val="en-US"/>
        </w:rPr>
      </w:pPr>
    </w:p>
    <w:p w14:paraId="412A87FA" w14:textId="5BA0AE07" w:rsidR="0087043B" w:rsidRPr="00DE79CB" w:rsidRDefault="002D3069" w:rsidP="00655670">
      <w:pPr>
        <w:spacing w:after="0" w:line="240" w:lineRule="auto"/>
        <w:rPr>
          <w:rFonts w:ascii="Verdana" w:hAnsi="Verdana"/>
          <w:sz w:val="18"/>
          <w:szCs w:val="18"/>
          <w:lang w:val="en-US"/>
        </w:rPr>
      </w:pPr>
      <w:r w:rsidRPr="00DE79CB">
        <w:rPr>
          <w:rFonts w:ascii="Verdana" w:hAnsi="Verdana"/>
          <w:sz w:val="18"/>
          <w:szCs w:val="18"/>
          <w:lang w:val="en-GB"/>
        </w:rPr>
        <w:t>To qualify for a grant under the Fair Focus on Trade grant programme, applicants must comply with a requirement on the maximum remuneration that may be paid to senior officials, defined as members of the management and board.</w:t>
      </w:r>
    </w:p>
    <w:p w14:paraId="273E21DC" w14:textId="77777777" w:rsidR="0087043B" w:rsidRPr="00DE79CB" w:rsidRDefault="0087043B" w:rsidP="00655670">
      <w:pPr>
        <w:spacing w:after="0" w:line="240" w:lineRule="auto"/>
        <w:rPr>
          <w:rFonts w:ascii="Verdana" w:hAnsi="Verdana"/>
          <w:sz w:val="18"/>
          <w:szCs w:val="18"/>
          <w:lang w:val="en-US"/>
        </w:rPr>
      </w:pPr>
    </w:p>
    <w:p w14:paraId="73BA0168" w14:textId="4A35C989" w:rsidR="0087043B" w:rsidRPr="00DE79CB" w:rsidRDefault="0087043B" w:rsidP="00655670">
      <w:pPr>
        <w:spacing w:after="0" w:line="240" w:lineRule="auto"/>
        <w:rPr>
          <w:rFonts w:ascii="Verdana" w:hAnsi="Verdana"/>
          <w:sz w:val="18"/>
          <w:szCs w:val="18"/>
          <w:lang w:val="en-US"/>
        </w:rPr>
      </w:pPr>
      <w:r w:rsidRPr="00DE79CB">
        <w:rPr>
          <w:rFonts w:ascii="Verdana" w:hAnsi="Verdana"/>
          <w:sz w:val="18"/>
          <w:szCs w:val="18"/>
          <w:lang w:val="en-GB"/>
        </w:rPr>
        <w:t xml:space="preserve">This is a mandatory eligibility criterion and any application that does not meet this criterion will be rejected. The applicable maximum remuneration depends on the country in which the relevant legal entity is </w:t>
      </w:r>
      <w:r w:rsidR="00D23B87" w:rsidRPr="00DE79CB">
        <w:rPr>
          <w:rFonts w:ascii="Verdana" w:hAnsi="Verdana"/>
          <w:sz w:val="18"/>
          <w:szCs w:val="18"/>
          <w:lang w:val="en-GB"/>
        </w:rPr>
        <w:t xml:space="preserve">legally </w:t>
      </w:r>
      <w:r w:rsidRPr="00DE79CB">
        <w:rPr>
          <w:rFonts w:ascii="Verdana" w:hAnsi="Verdana"/>
          <w:sz w:val="18"/>
          <w:szCs w:val="18"/>
          <w:lang w:val="en-GB"/>
        </w:rPr>
        <w:t xml:space="preserve">established. </w:t>
      </w:r>
    </w:p>
    <w:p w14:paraId="2B0ABFBE" w14:textId="77777777" w:rsidR="0087043B" w:rsidRPr="00DE79CB" w:rsidRDefault="0087043B" w:rsidP="00655670">
      <w:pPr>
        <w:spacing w:after="0" w:line="240" w:lineRule="auto"/>
        <w:rPr>
          <w:rFonts w:ascii="Verdana" w:hAnsi="Verdana"/>
          <w:sz w:val="18"/>
          <w:szCs w:val="18"/>
          <w:lang w:val="en-US"/>
        </w:rPr>
      </w:pPr>
    </w:p>
    <w:p w14:paraId="73AD0592" w14:textId="5078F852" w:rsidR="00634F4F" w:rsidRPr="00DE79CB" w:rsidRDefault="0087043B" w:rsidP="00655670">
      <w:pPr>
        <w:spacing w:after="0" w:line="240" w:lineRule="auto"/>
        <w:rPr>
          <w:rFonts w:ascii="Verdana" w:hAnsi="Verdana"/>
          <w:sz w:val="18"/>
          <w:szCs w:val="18"/>
          <w:lang w:val="en-US"/>
        </w:rPr>
      </w:pPr>
      <w:r w:rsidRPr="00DE79CB">
        <w:rPr>
          <w:rFonts w:ascii="Verdana" w:hAnsi="Verdana"/>
          <w:sz w:val="18"/>
          <w:szCs w:val="18"/>
          <w:lang w:val="en-GB"/>
        </w:rPr>
        <w:t>An overview of the applicable maximum amounts per country is set out below.</w:t>
      </w:r>
      <w:r w:rsidRPr="00DE79CB">
        <w:rPr>
          <w:rFonts w:ascii="Verdana" w:hAnsi="Verdana"/>
          <w:sz w:val="18"/>
          <w:szCs w:val="18"/>
          <w:lang w:val="en-GB"/>
        </w:rPr>
        <w:br/>
      </w:r>
    </w:p>
    <w:p w14:paraId="4FBBA6A0" w14:textId="54155023" w:rsidR="00634F4F" w:rsidRPr="00DE79CB" w:rsidRDefault="0087043B" w:rsidP="00655670">
      <w:pPr>
        <w:pStyle w:val="Kop2"/>
        <w:spacing w:before="0" w:line="240" w:lineRule="auto"/>
        <w:rPr>
          <w:rFonts w:ascii="Verdana" w:hAnsi="Verdana"/>
          <w:color w:val="auto"/>
          <w:sz w:val="18"/>
          <w:szCs w:val="18"/>
          <w:u w:val="single"/>
          <w:lang w:val="en-US"/>
        </w:rPr>
      </w:pPr>
      <w:bookmarkStart w:id="21" w:name="_Toc218503792"/>
      <w:r w:rsidRPr="00DE79CB">
        <w:rPr>
          <w:rFonts w:ascii="Verdana" w:hAnsi="Verdana"/>
          <w:color w:val="auto"/>
          <w:sz w:val="18"/>
          <w:szCs w:val="18"/>
          <w:u w:val="single"/>
          <w:lang w:val="en-GB"/>
        </w:rPr>
        <w:t>Netherlands</w:t>
      </w:r>
      <w:bookmarkEnd w:id="21"/>
    </w:p>
    <w:p w14:paraId="203F84ED" w14:textId="1CEB42B0" w:rsidR="0077388B" w:rsidRPr="00DE79CB" w:rsidRDefault="0087043B" w:rsidP="00655670">
      <w:pPr>
        <w:pStyle w:val="Kop2"/>
        <w:spacing w:before="0" w:line="240" w:lineRule="auto"/>
        <w:rPr>
          <w:rFonts w:ascii="Verdana" w:eastAsiaTheme="minorEastAsia" w:hAnsi="Verdana" w:cstheme="minorBidi"/>
          <w:color w:val="auto"/>
          <w:sz w:val="18"/>
          <w:szCs w:val="18"/>
          <w:lang w:val="en-US"/>
        </w:rPr>
      </w:pPr>
      <w:bookmarkStart w:id="22" w:name="_Toc218503793"/>
      <w:r w:rsidRPr="00DE79CB">
        <w:rPr>
          <w:rFonts w:ascii="Verdana" w:hAnsi="Verdana"/>
          <w:color w:val="auto"/>
          <w:sz w:val="18"/>
          <w:szCs w:val="18"/>
          <w:lang w:val="en-GB"/>
        </w:rPr>
        <w:t xml:space="preserve">For applicants that are legally </w:t>
      </w:r>
      <w:r w:rsidR="00D23B87" w:rsidRPr="00DE79CB">
        <w:rPr>
          <w:rFonts w:ascii="Verdana" w:hAnsi="Verdana"/>
          <w:color w:val="auto"/>
          <w:sz w:val="18"/>
          <w:szCs w:val="18"/>
          <w:lang w:val="en-GB"/>
        </w:rPr>
        <w:t xml:space="preserve">established </w:t>
      </w:r>
      <w:r w:rsidRPr="00DE79CB">
        <w:rPr>
          <w:rFonts w:ascii="Verdana" w:hAnsi="Verdana"/>
          <w:color w:val="auto"/>
          <w:sz w:val="18"/>
          <w:szCs w:val="18"/>
          <w:lang w:val="en-GB"/>
        </w:rPr>
        <w:t>in the Netherlands, the maximum remuneration is set at:</w:t>
      </w:r>
      <w:bookmarkEnd w:id="22"/>
      <w:r w:rsidRPr="00DE79CB">
        <w:rPr>
          <w:rFonts w:ascii="Verdana" w:hAnsi="Verdana"/>
          <w:color w:val="auto"/>
          <w:sz w:val="18"/>
          <w:szCs w:val="18"/>
          <w:lang w:val="en-GB"/>
        </w:rPr>
        <w:t xml:space="preserve"> </w:t>
      </w:r>
    </w:p>
    <w:p w14:paraId="520F9EBD" w14:textId="3D7DDACB" w:rsidR="0087043B" w:rsidRPr="00DE79CB" w:rsidRDefault="0087043B" w:rsidP="00655670">
      <w:pPr>
        <w:pStyle w:val="Kop2"/>
        <w:spacing w:before="0" w:line="240" w:lineRule="auto"/>
        <w:rPr>
          <w:rFonts w:ascii="Verdana" w:eastAsiaTheme="minorEastAsia" w:hAnsi="Verdana" w:cstheme="minorBidi"/>
          <w:color w:val="auto"/>
          <w:sz w:val="18"/>
          <w:szCs w:val="18"/>
          <w:lang w:val="en-US"/>
        </w:rPr>
      </w:pPr>
      <w:bookmarkStart w:id="23" w:name="_Toc218503794"/>
      <w:r w:rsidRPr="00DE79CB">
        <w:rPr>
          <w:rFonts w:ascii="Verdana" w:eastAsiaTheme="minorEastAsia" w:hAnsi="Verdana" w:cstheme="minorBidi"/>
          <w:color w:val="auto"/>
          <w:sz w:val="18"/>
          <w:szCs w:val="18"/>
          <w:lang w:val="en-GB"/>
        </w:rPr>
        <w:t>€ 241,000.</w:t>
      </w:r>
      <w:bookmarkEnd w:id="23"/>
    </w:p>
    <w:p w14:paraId="3694CB74" w14:textId="77777777" w:rsidR="0087043B" w:rsidRPr="00DE79CB" w:rsidRDefault="0087043B" w:rsidP="00655670">
      <w:pPr>
        <w:pStyle w:val="Kop2"/>
        <w:spacing w:before="0" w:line="240" w:lineRule="auto"/>
        <w:rPr>
          <w:rFonts w:ascii="Verdana" w:hAnsi="Verdana"/>
          <w:color w:val="auto"/>
          <w:sz w:val="18"/>
          <w:szCs w:val="18"/>
          <w:lang w:val="en-US"/>
        </w:rPr>
      </w:pPr>
    </w:p>
    <w:p w14:paraId="2D522B9D" w14:textId="77777777" w:rsidR="00126447" w:rsidRPr="00DE79CB" w:rsidRDefault="0087043B" w:rsidP="00655670">
      <w:pPr>
        <w:spacing w:after="0" w:line="240" w:lineRule="auto"/>
        <w:rPr>
          <w:rFonts w:ascii="Verdana" w:hAnsi="Verdana"/>
          <w:sz w:val="18"/>
          <w:szCs w:val="18"/>
          <w:u w:val="single"/>
          <w:lang w:val="en-US"/>
        </w:rPr>
      </w:pPr>
      <w:r w:rsidRPr="00DE79CB">
        <w:rPr>
          <w:rFonts w:ascii="Verdana" w:hAnsi="Verdana"/>
          <w:sz w:val="18"/>
          <w:szCs w:val="18"/>
          <w:u w:val="single"/>
          <w:lang w:val="en-GB"/>
        </w:rPr>
        <w:t>T</w:t>
      </w:r>
      <w:bookmarkStart w:id="24" w:name="_Hlk216698774"/>
      <w:r w:rsidRPr="00DE79CB">
        <w:rPr>
          <w:rFonts w:ascii="Verdana" w:hAnsi="Verdana"/>
          <w:sz w:val="18"/>
          <w:szCs w:val="18"/>
          <w:u w:val="single"/>
          <w:lang w:val="en-GB"/>
        </w:rPr>
        <w:t>arget country</w:t>
      </w:r>
    </w:p>
    <w:p w14:paraId="290E3B4D" w14:textId="210E75AF" w:rsidR="0087043B" w:rsidRPr="00DE79CB" w:rsidRDefault="00126447" w:rsidP="00655670">
      <w:pPr>
        <w:spacing w:after="0" w:line="240" w:lineRule="auto"/>
        <w:rPr>
          <w:rFonts w:ascii="Verdana" w:hAnsi="Verdana"/>
          <w:sz w:val="18"/>
          <w:szCs w:val="18"/>
          <w:lang w:val="en-US"/>
        </w:rPr>
      </w:pPr>
      <w:r w:rsidRPr="00DE79CB">
        <w:rPr>
          <w:rFonts w:ascii="Verdana" w:hAnsi="Verdana"/>
          <w:sz w:val="18"/>
          <w:szCs w:val="18"/>
          <w:lang w:val="en-GB"/>
        </w:rPr>
        <w:t xml:space="preserve">For applicants that are legally </w:t>
      </w:r>
      <w:r w:rsidR="00D23B87" w:rsidRPr="00DE79CB">
        <w:rPr>
          <w:rFonts w:ascii="Verdana" w:hAnsi="Verdana"/>
          <w:sz w:val="18"/>
          <w:szCs w:val="18"/>
          <w:lang w:val="en-GB"/>
        </w:rPr>
        <w:t xml:space="preserve">established </w:t>
      </w:r>
      <w:r w:rsidRPr="00DE79CB">
        <w:rPr>
          <w:rFonts w:ascii="Verdana" w:hAnsi="Verdana"/>
          <w:sz w:val="18"/>
          <w:szCs w:val="18"/>
          <w:lang w:val="en-GB"/>
        </w:rPr>
        <w:t>in one of the 21 target countries listed in appendix 1, the applicable maximum remuneration per target country is set out in the overview below:</w:t>
      </w:r>
      <w:r w:rsidRPr="00DE79CB">
        <w:rPr>
          <w:rFonts w:ascii="Verdana" w:hAnsi="Verdana"/>
          <w:sz w:val="18"/>
          <w:szCs w:val="18"/>
          <w:lang w:val="en-GB"/>
        </w:rPr>
        <w:br/>
      </w:r>
    </w:p>
    <w:tbl>
      <w:tblPr>
        <w:tblStyle w:val="Tabelraster"/>
        <w:tblW w:w="0" w:type="auto"/>
        <w:tblLook w:val="04A0" w:firstRow="1" w:lastRow="0" w:firstColumn="1" w:lastColumn="0" w:noHBand="0" w:noVBand="1"/>
      </w:tblPr>
      <w:tblGrid>
        <w:gridCol w:w="2802"/>
        <w:gridCol w:w="2958"/>
        <w:gridCol w:w="2880"/>
      </w:tblGrid>
      <w:tr w:rsidR="00634F4F" w:rsidRPr="00DE79CB" w14:paraId="60921CCB" w14:textId="77777777" w:rsidTr="00EA4F65">
        <w:tc>
          <w:tcPr>
            <w:tcW w:w="2802" w:type="dxa"/>
          </w:tcPr>
          <w:p w14:paraId="17D0C152" w14:textId="5D8855A4" w:rsidR="00634F4F" w:rsidRPr="00DE79CB" w:rsidRDefault="0087043B" w:rsidP="00655670">
            <w:pPr>
              <w:rPr>
                <w:rFonts w:ascii="Verdana" w:hAnsi="Verdana"/>
                <w:i/>
                <w:sz w:val="18"/>
                <w:szCs w:val="18"/>
              </w:rPr>
            </w:pPr>
            <w:r w:rsidRPr="00DE79CB">
              <w:rPr>
                <w:rFonts w:ascii="Verdana" w:hAnsi="Verdana"/>
                <w:i/>
                <w:iCs/>
                <w:sz w:val="18"/>
                <w:szCs w:val="18"/>
                <w:lang w:val="en-GB"/>
              </w:rPr>
              <w:t>Country</w:t>
            </w:r>
          </w:p>
        </w:tc>
        <w:tc>
          <w:tcPr>
            <w:tcW w:w="2958" w:type="dxa"/>
          </w:tcPr>
          <w:p w14:paraId="3E95146C" w14:textId="4AC2619B" w:rsidR="00634F4F" w:rsidRPr="00DE79CB" w:rsidRDefault="0087043B" w:rsidP="00655670">
            <w:pPr>
              <w:rPr>
                <w:rFonts w:ascii="Verdana" w:hAnsi="Verdana"/>
                <w:i/>
                <w:sz w:val="18"/>
                <w:szCs w:val="18"/>
              </w:rPr>
            </w:pPr>
            <w:r w:rsidRPr="00DE79CB">
              <w:rPr>
                <w:rFonts w:ascii="Verdana" w:hAnsi="Verdana"/>
                <w:i/>
                <w:iCs/>
                <w:sz w:val="18"/>
                <w:szCs w:val="18"/>
                <w:lang w:val="en-GB"/>
              </w:rPr>
              <w:t>Currency</w:t>
            </w:r>
          </w:p>
        </w:tc>
        <w:tc>
          <w:tcPr>
            <w:tcW w:w="2880" w:type="dxa"/>
          </w:tcPr>
          <w:p w14:paraId="783D3E76" w14:textId="0434A7CA" w:rsidR="00634F4F" w:rsidRPr="00DE79CB" w:rsidRDefault="0087043B" w:rsidP="00655670">
            <w:pPr>
              <w:rPr>
                <w:rFonts w:ascii="Verdana" w:hAnsi="Verdana"/>
                <w:i/>
                <w:sz w:val="18"/>
                <w:szCs w:val="18"/>
              </w:rPr>
            </w:pPr>
            <w:r w:rsidRPr="00DE79CB">
              <w:rPr>
                <w:rFonts w:ascii="Verdana" w:hAnsi="Verdana"/>
                <w:i/>
                <w:iCs/>
                <w:sz w:val="18"/>
                <w:szCs w:val="18"/>
                <w:lang w:val="en-GB"/>
              </w:rPr>
              <w:t>Amount</w:t>
            </w:r>
          </w:p>
        </w:tc>
      </w:tr>
      <w:tr w:rsidR="00634F4F" w:rsidRPr="00DE79CB" w14:paraId="345E2190" w14:textId="77777777" w:rsidTr="00EA4F65">
        <w:tc>
          <w:tcPr>
            <w:tcW w:w="2802" w:type="dxa"/>
          </w:tcPr>
          <w:p w14:paraId="62A2E53A" w14:textId="77777777" w:rsidR="00634F4F" w:rsidRPr="00DE79CB" w:rsidRDefault="00634F4F" w:rsidP="00655670">
            <w:pPr>
              <w:rPr>
                <w:rFonts w:ascii="Verdana" w:hAnsi="Verdana"/>
                <w:sz w:val="18"/>
                <w:szCs w:val="18"/>
              </w:rPr>
            </w:pPr>
            <w:r w:rsidRPr="00DE79CB">
              <w:rPr>
                <w:rFonts w:ascii="Verdana" w:hAnsi="Verdana"/>
                <w:sz w:val="18"/>
                <w:szCs w:val="18"/>
                <w:lang w:val="en-GB"/>
              </w:rPr>
              <w:t>Bangladesh</w:t>
            </w:r>
          </w:p>
        </w:tc>
        <w:tc>
          <w:tcPr>
            <w:tcW w:w="2958" w:type="dxa"/>
          </w:tcPr>
          <w:p w14:paraId="1E40D204" w14:textId="77777777" w:rsidR="00634F4F" w:rsidRPr="00DE79CB" w:rsidRDefault="00634F4F" w:rsidP="00655670">
            <w:pPr>
              <w:rPr>
                <w:rFonts w:ascii="Verdana" w:hAnsi="Verdana"/>
                <w:sz w:val="18"/>
                <w:szCs w:val="18"/>
              </w:rPr>
            </w:pPr>
            <w:r w:rsidRPr="00DE79CB">
              <w:rPr>
                <w:rFonts w:ascii="Verdana" w:hAnsi="Verdana"/>
                <w:sz w:val="18"/>
                <w:szCs w:val="18"/>
                <w:lang w:val="en-GB"/>
              </w:rPr>
              <w:t>BDT</w:t>
            </w:r>
          </w:p>
        </w:tc>
        <w:tc>
          <w:tcPr>
            <w:tcW w:w="2880" w:type="dxa"/>
          </w:tcPr>
          <w:p w14:paraId="37C5A52B" w14:textId="50EDB6E0" w:rsidR="00634F4F" w:rsidRPr="00DE79CB" w:rsidRDefault="00984B83" w:rsidP="00655670">
            <w:pPr>
              <w:rPr>
                <w:rFonts w:ascii="Verdana" w:hAnsi="Verdana"/>
                <w:sz w:val="18"/>
                <w:szCs w:val="18"/>
              </w:rPr>
            </w:pPr>
            <w:r w:rsidRPr="00DE79CB">
              <w:rPr>
                <w:rFonts w:ascii="Verdana" w:eastAsia="Times New Roman" w:hAnsi="Verdana" w:cs="Tahoma"/>
                <w:sz w:val="18"/>
                <w:szCs w:val="18"/>
                <w:lang w:val="en-GB"/>
              </w:rPr>
              <w:t xml:space="preserve"> 10</w:t>
            </w:r>
            <w:r w:rsidRPr="00DE79CB">
              <w:rPr>
                <w:rFonts w:ascii="Verdana" w:eastAsia="Times New Roman" w:hAnsi="Verdana" w:cs="Tahoma"/>
                <w:sz w:val="18"/>
                <w:szCs w:val="18"/>
              </w:rPr>
              <w:t>.808.383</w:t>
            </w:r>
          </w:p>
        </w:tc>
      </w:tr>
      <w:tr w:rsidR="00634F4F" w:rsidRPr="00DE79CB" w14:paraId="05121938" w14:textId="191C8042" w:rsidTr="00EA4F65">
        <w:tc>
          <w:tcPr>
            <w:tcW w:w="2802" w:type="dxa"/>
          </w:tcPr>
          <w:p w14:paraId="13CCC2D6" w14:textId="211CE632" w:rsidR="00634F4F" w:rsidRPr="00DE79CB" w:rsidRDefault="00634F4F" w:rsidP="00655670">
            <w:pPr>
              <w:rPr>
                <w:rFonts w:ascii="Verdana" w:hAnsi="Verdana"/>
                <w:sz w:val="18"/>
                <w:szCs w:val="18"/>
              </w:rPr>
            </w:pPr>
            <w:r w:rsidRPr="00DE79CB">
              <w:rPr>
                <w:rFonts w:ascii="Verdana" w:hAnsi="Verdana"/>
                <w:sz w:val="18"/>
                <w:szCs w:val="18"/>
                <w:lang w:val="en-GB"/>
              </w:rPr>
              <w:t>Benin</w:t>
            </w:r>
          </w:p>
        </w:tc>
        <w:tc>
          <w:tcPr>
            <w:tcW w:w="2958" w:type="dxa"/>
          </w:tcPr>
          <w:p w14:paraId="315B5852" w14:textId="6513D0A3" w:rsidR="00634F4F" w:rsidRPr="00DE79CB" w:rsidRDefault="00634F4F" w:rsidP="00655670">
            <w:pPr>
              <w:rPr>
                <w:rFonts w:ascii="Verdana" w:hAnsi="Verdana"/>
                <w:sz w:val="18"/>
                <w:szCs w:val="18"/>
              </w:rPr>
            </w:pPr>
            <w:r w:rsidRPr="00DE79CB">
              <w:rPr>
                <w:rFonts w:ascii="Verdana" w:hAnsi="Verdana"/>
                <w:sz w:val="18"/>
                <w:szCs w:val="18"/>
                <w:lang w:val="en-GB"/>
              </w:rPr>
              <w:t>XOF</w:t>
            </w:r>
          </w:p>
        </w:tc>
        <w:tc>
          <w:tcPr>
            <w:tcW w:w="2880" w:type="dxa"/>
          </w:tcPr>
          <w:p w14:paraId="18580DB2" w14:textId="4151C73F" w:rsidR="00634F4F" w:rsidRPr="00DE79CB" w:rsidRDefault="00984B83" w:rsidP="00655670">
            <w:pPr>
              <w:rPr>
                <w:rFonts w:ascii="Verdana" w:hAnsi="Verdana"/>
                <w:sz w:val="18"/>
                <w:szCs w:val="18"/>
              </w:rPr>
            </w:pPr>
            <w:r w:rsidRPr="00DE79CB">
              <w:rPr>
                <w:rFonts w:ascii="Verdana" w:eastAsia="Times New Roman" w:hAnsi="Verdana" w:cs="Tahoma"/>
                <w:sz w:val="18"/>
                <w:szCs w:val="18"/>
                <w:lang w:val="en-GB"/>
              </w:rPr>
              <w:t xml:space="preserve"> </w:t>
            </w:r>
            <w:r w:rsidRPr="00DE79CB">
              <w:rPr>
                <w:rFonts w:ascii="Verdana" w:eastAsia="Times New Roman" w:hAnsi="Verdana" w:cs="Tahoma"/>
                <w:sz w:val="18"/>
                <w:szCs w:val="18"/>
              </w:rPr>
              <w:t>81.266.976</w:t>
            </w:r>
          </w:p>
        </w:tc>
      </w:tr>
      <w:tr w:rsidR="00634F4F" w:rsidRPr="00DE79CB" w14:paraId="72A16CF0" w14:textId="77777777" w:rsidTr="00EA4F65">
        <w:tc>
          <w:tcPr>
            <w:tcW w:w="2802" w:type="dxa"/>
          </w:tcPr>
          <w:p w14:paraId="44F34984" w14:textId="77777777" w:rsidR="00634F4F" w:rsidRPr="00DE79CB" w:rsidRDefault="00634F4F" w:rsidP="00655670">
            <w:pPr>
              <w:rPr>
                <w:rFonts w:ascii="Verdana" w:hAnsi="Verdana"/>
                <w:sz w:val="18"/>
                <w:szCs w:val="18"/>
              </w:rPr>
            </w:pPr>
            <w:r w:rsidRPr="00DE79CB">
              <w:rPr>
                <w:rFonts w:ascii="Verdana" w:hAnsi="Verdana"/>
                <w:sz w:val="18"/>
                <w:szCs w:val="18"/>
                <w:lang w:val="en-GB"/>
              </w:rPr>
              <w:t>Congo DRC*</w:t>
            </w:r>
          </w:p>
        </w:tc>
        <w:tc>
          <w:tcPr>
            <w:tcW w:w="2958" w:type="dxa"/>
          </w:tcPr>
          <w:p w14:paraId="4458194E" w14:textId="77777777" w:rsidR="00634F4F" w:rsidRPr="00DE79CB" w:rsidRDefault="00634F4F" w:rsidP="00655670">
            <w:pPr>
              <w:rPr>
                <w:rFonts w:ascii="Verdana" w:hAnsi="Verdana"/>
                <w:sz w:val="18"/>
                <w:szCs w:val="18"/>
              </w:rPr>
            </w:pPr>
            <w:r w:rsidRPr="00DE79CB">
              <w:rPr>
                <w:rFonts w:ascii="Verdana" w:hAnsi="Verdana"/>
                <w:sz w:val="18"/>
                <w:szCs w:val="18"/>
                <w:lang w:val="en-GB"/>
              </w:rPr>
              <w:t>USD</w:t>
            </w:r>
          </w:p>
        </w:tc>
        <w:tc>
          <w:tcPr>
            <w:tcW w:w="2880" w:type="dxa"/>
          </w:tcPr>
          <w:p w14:paraId="02CFA2B3" w14:textId="1EA3EFE5" w:rsidR="00634F4F" w:rsidRPr="00DE79CB" w:rsidRDefault="00984B83" w:rsidP="00655670">
            <w:pPr>
              <w:rPr>
                <w:rFonts w:ascii="Verdana" w:hAnsi="Verdana"/>
                <w:sz w:val="18"/>
                <w:szCs w:val="18"/>
              </w:rPr>
            </w:pPr>
            <w:r w:rsidRPr="00DE79CB">
              <w:rPr>
                <w:rFonts w:ascii="Verdana" w:eastAsia="Times New Roman" w:hAnsi="Verdana" w:cs="Tahoma"/>
                <w:sz w:val="18"/>
                <w:szCs w:val="18"/>
                <w:lang w:val="en-GB"/>
              </w:rPr>
              <w:t xml:space="preserve"> </w:t>
            </w:r>
            <w:r w:rsidRPr="00DE79CB">
              <w:rPr>
                <w:rFonts w:ascii="Verdana" w:eastAsia="Times New Roman" w:hAnsi="Verdana" w:cs="Tahoma"/>
                <w:sz w:val="18"/>
                <w:szCs w:val="18"/>
              </w:rPr>
              <w:t>141.507</w:t>
            </w:r>
          </w:p>
        </w:tc>
      </w:tr>
      <w:tr w:rsidR="00634F4F" w:rsidRPr="00DE79CB" w14:paraId="4AFF8D7A" w14:textId="77777777" w:rsidTr="00EA4F65">
        <w:tc>
          <w:tcPr>
            <w:tcW w:w="2802" w:type="dxa"/>
          </w:tcPr>
          <w:p w14:paraId="568B11F6" w14:textId="77777777" w:rsidR="00634F4F" w:rsidRPr="00DE79CB" w:rsidRDefault="00634F4F" w:rsidP="00655670">
            <w:pPr>
              <w:rPr>
                <w:rFonts w:ascii="Verdana" w:hAnsi="Verdana"/>
                <w:sz w:val="18"/>
                <w:szCs w:val="18"/>
              </w:rPr>
            </w:pPr>
            <w:r w:rsidRPr="00DE79CB">
              <w:rPr>
                <w:rFonts w:ascii="Verdana" w:hAnsi="Verdana"/>
                <w:sz w:val="18"/>
                <w:szCs w:val="18"/>
                <w:lang w:val="en-GB"/>
              </w:rPr>
              <w:t>Egypt*</w:t>
            </w:r>
          </w:p>
        </w:tc>
        <w:tc>
          <w:tcPr>
            <w:tcW w:w="2958" w:type="dxa"/>
          </w:tcPr>
          <w:p w14:paraId="303CF1EB" w14:textId="77777777" w:rsidR="00634F4F" w:rsidRPr="00DE79CB" w:rsidRDefault="00634F4F" w:rsidP="00655670">
            <w:pPr>
              <w:rPr>
                <w:rFonts w:ascii="Verdana" w:hAnsi="Verdana"/>
                <w:sz w:val="18"/>
                <w:szCs w:val="18"/>
              </w:rPr>
            </w:pPr>
            <w:r w:rsidRPr="00DE79CB">
              <w:rPr>
                <w:rFonts w:ascii="Verdana" w:hAnsi="Verdana"/>
                <w:sz w:val="18"/>
                <w:szCs w:val="18"/>
                <w:lang w:val="en-GB"/>
              </w:rPr>
              <w:t>EUR</w:t>
            </w:r>
          </w:p>
        </w:tc>
        <w:tc>
          <w:tcPr>
            <w:tcW w:w="2880" w:type="dxa"/>
          </w:tcPr>
          <w:p w14:paraId="2D199F43" w14:textId="77777777" w:rsidR="00634F4F" w:rsidRPr="00DE79CB" w:rsidRDefault="00634F4F" w:rsidP="00655670">
            <w:pPr>
              <w:rPr>
                <w:rFonts w:ascii="Verdana" w:hAnsi="Verdana"/>
                <w:sz w:val="18"/>
                <w:szCs w:val="18"/>
              </w:rPr>
            </w:pPr>
            <w:r w:rsidRPr="00DE79CB">
              <w:rPr>
                <w:rFonts w:ascii="Verdana" w:hAnsi="Verdana"/>
                <w:sz w:val="18"/>
                <w:szCs w:val="18"/>
                <w:lang w:val="en-GB"/>
              </w:rPr>
              <w:t>107,959</w:t>
            </w:r>
          </w:p>
        </w:tc>
      </w:tr>
      <w:tr w:rsidR="00634F4F" w:rsidRPr="00DE79CB" w14:paraId="228EBDB0" w14:textId="77777777" w:rsidTr="00EA4F65">
        <w:tc>
          <w:tcPr>
            <w:tcW w:w="2802" w:type="dxa"/>
          </w:tcPr>
          <w:p w14:paraId="48E36DBE" w14:textId="77777777" w:rsidR="00634F4F" w:rsidRPr="00DE79CB" w:rsidRDefault="00634F4F" w:rsidP="00655670">
            <w:pPr>
              <w:rPr>
                <w:rFonts w:ascii="Verdana" w:hAnsi="Verdana"/>
                <w:sz w:val="18"/>
                <w:szCs w:val="18"/>
              </w:rPr>
            </w:pPr>
            <w:r w:rsidRPr="00DE79CB">
              <w:rPr>
                <w:rFonts w:ascii="Verdana" w:hAnsi="Verdana"/>
                <w:sz w:val="18"/>
                <w:szCs w:val="18"/>
                <w:lang w:val="en-GB"/>
              </w:rPr>
              <w:t>Ethiopia*</w:t>
            </w:r>
          </w:p>
        </w:tc>
        <w:tc>
          <w:tcPr>
            <w:tcW w:w="2958" w:type="dxa"/>
          </w:tcPr>
          <w:p w14:paraId="57F5E57E" w14:textId="77777777" w:rsidR="00634F4F" w:rsidRPr="00DE79CB" w:rsidRDefault="00634F4F" w:rsidP="00655670">
            <w:pPr>
              <w:rPr>
                <w:rFonts w:ascii="Verdana" w:hAnsi="Verdana"/>
                <w:sz w:val="18"/>
                <w:szCs w:val="18"/>
              </w:rPr>
            </w:pPr>
            <w:r w:rsidRPr="00DE79CB">
              <w:rPr>
                <w:rFonts w:ascii="Verdana" w:hAnsi="Verdana"/>
                <w:sz w:val="18"/>
                <w:szCs w:val="18"/>
                <w:lang w:val="en-GB"/>
              </w:rPr>
              <w:t>EUR</w:t>
            </w:r>
          </w:p>
        </w:tc>
        <w:tc>
          <w:tcPr>
            <w:tcW w:w="2880" w:type="dxa"/>
          </w:tcPr>
          <w:p w14:paraId="0F71F9F4" w14:textId="0C72925F" w:rsidR="00634F4F" w:rsidRPr="00DE79CB" w:rsidRDefault="00984B83" w:rsidP="00655670">
            <w:pPr>
              <w:rPr>
                <w:rFonts w:ascii="Verdana" w:hAnsi="Verdana"/>
                <w:sz w:val="18"/>
                <w:szCs w:val="18"/>
              </w:rPr>
            </w:pPr>
            <w:r w:rsidRPr="00DE79CB">
              <w:rPr>
                <w:rFonts w:ascii="Verdana" w:eastAsia="Times New Roman" w:hAnsi="Verdana" w:cs="Tahoma"/>
                <w:sz w:val="18"/>
                <w:szCs w:val="18"/>
                <w:lang w:val="en-GB"/>
              </w:rPr>
              <w:t xml:space="preserve"> </w:t>
            </w:r>
            <w:r w:rsidRPr="00DE79CB">
              <w:rPr>
                <w:rFonts w:ascii="Verdana" w:eastAsia="Times New Roman" w:hAnsi="Verdana" w:cs="Tahoma"/>
                <w:sz w:val="18"/>
                <w:szCs w:val="18"/>
              </w:rPr>
              <w:t>89.827</w:t>
            </w:r>
          </w:p>
        </w:tc>
      </w:tr>
      <w:tr w:rsidR="00634F4F" w:rsidRPr="00DE79CB" w14:paraId="618F41F5" w14:textId="77777777" w:rsidTr="00EA4F65">
        <w:tc>
          <w:tcPr>
            <w:tcW w:w="2802" w:type="dxa"/>
          </w:tcPr>
          <w:p w14:paraId="5C314F12" w14:textId="77777777" w:rsidR="00634F4F" w:rsidRPr="00DE79CB" w:rsidRDefault="00634F4F" w:rsidP="00655670">
            <w:pPr>
              <w:rPr>
                <w:rFonts w:ascii="Verdana" w:hAnsi="Verdana"/>
                <w:sz w:val="18"/>
                <w:szCs w:val="18"/>
              </w:rPr>
            </w:pPr>
            <w:r w:rsidRPr="00DE79CB">
              <w:rPr>
                <w:rFonts w:ascii="Verdana" w:hAnsi="Verdana"/>
                <w:sz w:val="18"/>
                <w:szCs w:val="18"/>
                <w:lang w:val="en-GB"/>
              </w:rPr>
              <w:t>Ghana</w:t>
            </w:r>
          </w:p>
        </w:tc>
        <w:tc>
          <w:tcPr>
            <w:tcW w:w="2958" w:type="dxa"/>
          </w:tcPr>
          <w:p w14:paraId="6AB34598" w14:textId="77777777" w:rsidR="00634F4F" w:rsidRPr="00DE79CB" w:rsidRDefault="00634F4F" w:rsidP="00655670">
            <w:pPr>
              <w:rPr>
                <w:rFonts w:ascii="Verdana" w:hAnsi="Verdana"/>
                <w:sz w:val="18"/>
                <w:szCs w:val="18"/>
              </w:rPr>
            </w:pPr>
            <w:r w:rsidRPr="00DE79CB">
              <w:rPr>
                <w:rFonts w:ascii="Verdana" w:hAnsi="Verdana"/>
                <w:sz w:val="18"/>
                <w:szCs w:val="18"/>
                <w:lang w:val="en-GB"/>
              </w:rPr>
              <w:t>GHS</w:t>
            </w:r>
          </w:p>
        </w:tc>
        <w:tc>
          <w:tcPr>
            <w:tcW w:w="2880" w:type="dxa"/>
          </w:tcPr>
          <w:p w14:paraId="7A81D32C" w14:textId="163502E6" w:rsidR="00634F4F" w:rsidRPr="00DE79CB" w:rsidRDefault="00984B83" w:rsidP="00655670">
            <w:pPr>
              <w:rPr>
                <w:rFonts w:ascii="Verdana" w:hAnsi="Verdana"/>
                <w:sz w:val="18"/>
                <w:szCs w:val="18"/>
              </w:rPr>
            </w:pPr>
            <w:r w:rsidRPr="00DE79CB">
              <w:rPr>
                <w:rFonts w:ascii="Verdana" w:eastAsia="Times New Roman" w:hAnsi="Verdana" w:cs="Tahoma"/>
                <w:color w:val="000000"/>
                <w:sz w:val="18"/>
                <w:szCs w:val="18"/>
                <w:lang w:val="en-GB"/>
              </w:rPr>
              <w:t xml:space="preserve"> </w:t>
            </w:r>
            <w:r w:rsidRPr="00DE79CB">
              <w:rPr>
                <w:rFonts w:ascii="Verdana" w:eastAsia="Times New Roman" w:hAnsi="Verdana" w:cs="Tahoma"/>
                <w:color w:val="000000"/>
                <w:sz w:val="18"/>
                <w:szCs w:val="18"/>
              </w:rPr>
              <w:t>912.096</w:t>
            </w:r>
          </w:p>
        </w:tc>
      </w:tr>
      <w:tr w:rsidR="00634F4F" w:rsidRPr="00DE79CB" w14:paraId="5BF25589" w14:textId="77777777" w:rsidTr="00EA4F65">
        <w:tc>
          <w:tcPr>
            <w:tcW w:w="2802" w:type="dxa"/>
          </w:tcPr>
          <w:p w14:paraId="4FE24153" w14:textId="77777777" w:rsidR="00634F4F" w:rsidRPr="00DE79CB" w:rsidRDefault="00634F4F" w:rsidP="00655670">
            <w:pPr>
              <w:rPr>
                <w:rFonts w:ascii="Verdana" w:hAnsi="Verdana"/>
                <w:sz w:val="18"/>
                <w:szCs w:val="18"/>
              </w:rPr>
            </w:pPr>
            <w:r w:rsidRPr="00DE79CB">
              <w:rPr>
                <w:rFonts w:ascii="Verdana" w:hAnsi="Verdana"/>
                <w:sz w:val="18"/>
                <w:szCs w:val="18"/>
                <w:lang w:val="en-GB"/>
              </w:rPr>
              <w:t>India</w:t>
            </w:r>
          </w:p>
        </w:tc>
        <w:tc>
          <w:tcPr>
            <w:tcW w:w="2958" w:type="dxa"/>
          </w:tcPr>
          <w:p w14:paraId="35F0E784" w14:textId="77777777" w:rsidR="00634F4F" w:rsidRPr="00DE79CB" w:rsidRDefault="00634F4F" w:rsidP="00655670">
            <w:pPr>
              <w:rPr>
                <w:rFonts w:ascii="Verdana" w:hAnsi="Verdana"/>
                <w:sz w:val="18"/>
                <w:szCs w:val="18"/>
              </w:rPr>
            </w:pPr>
            <w:r w:rsidRPr="00DE79CB">
              <w:rPr>
                <w:rFonts w:ascii="Verdana" w:hAnsi="Verdana"/>
                <w:sz w:val="18"/>
                <w:szCs w:val="18"/>
                <w:lang w:val="en-GB"/>
              </w:rPr>
              <w:t>INR</w:t>
            </w:r>
          </w:p>
        </w:tc>
        <w:tc>
          <w:tcPr>
            <w:tcW w:w="2880" w:type="dxa"/>
          </w:tcPr>
          <w:p w14:paraId="75EE8F09" w14:textId="31792155" w:rsidR="00634F4F" w:rsidRPr="00DE79CB" w:rsidRDefault="00984B83" w:rsidP="00655670">
            <w:pPr>
              <w:rPr>
                <w:rFonts w:ascii="Verdana" w:hAnsi="Verdana"/>
                <w:sz w:val="18"/>
                <w:szCs w:val="18"/>
              </w:rPr>
            </w:pPr>
            <w:r w:rsidRPr="00DE79CB">
              <w:rPr>
                <w:rFonts w:ascii="Verdana" w:eastAsia="Times New Roman" w:hAnsi="Verdana" w:cs="Tahoma"/>
                <w:color w:val="000000"/>
                <w:sz w:val="18"/>
                <w:szCs w:val="18"/>
                <w:lang w:val="en-GB"/>
              </w:rPr>
              <w:t xml:space="preserve"> </w:t>
            </w:r>
            <w:r w:rsidRPr="00DE79CB">
              <w:rPr>
                <w:rFonts w:ascii="Verdana" w:eastAsia="Times New Roman" w:hAnsi="Verdana" w:cs="Tahoma"/>
                <w:color w:val="000000"/>
                <w:sz w:val="18"/>
                <w:szCs w:val="18"/>
              </w:rPr>
              <w:t>7.843.251</w:t>
            </w:r>
          </w:p>
        </w:tc>
      </w:tr>
      <w:tr w:rsidR="00634F4F" w:rsidRPr="00DE79CB" w14:paraId="7394F7F2" w14:textId="77777777" w:rsidTr="00EA4F65">
        <w:tc>
          <w:tcPr>
            <w:tcW w:w="2802" w:type="dxa"/>
          </w:tcPr>
          <w:p w14:paraId="7AC85FFA" w14:textId="77777777" w:rsidR="00634F4F" w:rsidRPr="00DE79CB" w:rsidRDefault="00634F4F" w:rsidP="00655670">
            <w:pPr>
              <w:rPr>
                <w:rFonts w:ascii="Verdana" w:hAnsi="Verdana"/>
                <w:sz w:val="18"/>
                <w:szCs w:val="18"/>
              </w:rPr>
            </w:pPr>
            <w:r w:rsidRPr="00DE79CB">
              <w:rPr>
                <w:rFonts w:ascii="Verdana" w:hAnsi="Verdana"/>
                <w:sz w:val="18"/>
                <w:szCs w:val="18"/>
                <w:lang w:val="en-GB"/>
              </w:rPr>
              <w:t>Indonesia</w:t>
            </w:r>
          </w:p>
        </w:tc>
        <w:tc>
          <w:tcPr>
            <w:tcW w:w="2958" w:type="dxa"/>
          </w:tcPr>
          <w:p w14:paraId="7416F9A5" w14:textId="77777777" w:rsidR="00634F4F" w:rsidRPr="00DE79CB" w:rsidRDefault="00634F4F" w:rsidP="00655670">
            <w:pPr>
              <w:rPr>
                <w:rFonts w:ascii="Verdana" w:hAnsi="Verdana"/>
                <w:sz w:val="18"/>
                <w:szCs w:val="18"/>
              </w:rPr>
            </w:pPr>
            <w:r w:rsidRPr="00DE79CB">
              <w:rPr>
                <w:rFonts w:ascii="Verdana" w:hAnsi="Verdana"/>
                <w:sz w:val="18"/>
                <w:szCs w:val="18"/>
                <w:lang w:val="en-GB"/>
              </w:rPr>
              <w:t>IDR</w:t>
            </w:r>
          </w:p>
        </w:tc>
        <w:tc>
          <w:tcPr>
            <w:tcW w:w="2880" w:type="dxa"/>
          </w:tcPr>
          <w:p w14:paraId="30742AA6" w14:textId="03F3E307" w:rsidR="00634F4F" w:rsidRPr="00DE79CB" w:rsidRDefault="00984B83" w:rsidP="00655670">
            <w:pPr>
              <w:rPr>
                <w:rFonts w:ascii="Verdana" w:hAnsi="Verdana"/>
                <w:sz w:val="18"/>
                <w:szCs w:val="18"/>
              </w:rPr>
            </w:pPr>
            <w:r w:rsidRPr="00DE79CB">
              <w:rPr>
                <w:rFonts w:ascii="Verdana" w:hAnsi="Verdana"/>
                <w:sz w:val="18"/>
                <w:szCs w:val="18"/>
                <w:lang w:val="en-GB"/>
              </w:rPr>
              <w:t xml:space="preserve"> </w:t>
            </w:r>
            <w:r w:rsidRPr="00DE79CB">
              <w:rPr>
                <w:rFonts w:ascii="Verdana" w:hAnsi="Verdana"/>
                <w:sz w:val="18"/>
                <w:szCs w:val="18"/>
              </w:rPr>
              <w:t>1.533.690.209</w:t>
            </w:r>
          </w:p>
        </w:tc>
      </w:tr>
      <w:tr w:rsidR="00634F4F" w:rsidRPr="00DE79CB" w14:paraId="454F7868" w14:textId="77777777" w:rsidTr="00EA4F65">
        <w:tc>
          <w:tcPr>
            <w:tcW w:w="2802" w:type="dxa"/>
          </w:tcPr>
          <w:p w14:paraId="798D7F19" w14:textId="77777777" w:rsidR="00634F4F" w:rsidRPr="00DE79CB" w:rsidRDefault="00634F4F" w:rsidP="00655670">
            <w:pPr>
              <w:rPr>
                <w:rFonts w:ascii="Verdana" w:hAnsi="Verdana"/>
                <w:sz w:val="18"/>
                <w:szCs w:val="18"/>
              </w:rPr>
            </w:pPr>
            <w:r w:rsidRPr="00DE79CB">
              <w:rPr>
                <w:rFonts w:ascii="Verdana" w:hAnsi="Verdana"/>
                <w:sz w:val="18"/>
                <w:szCs w:val="18"/>
                <w:lang w:val="en-GB"/>
              </w:rPr>
              <w:t>Ivory Coast</w:t>
            </w:r>
          </w:p>
        </w:tc>
        <w:tc>
          <w:tcPr>
            <w:tcW w:w="2958" w:type="dxa"/>
          </w:tcPr>
          <w:p w14:paraId="4451E2BC" w14:textId="77777777" w:rsidR="00634F4F" w:rsidRPr="00DE79CB" w:rsidRDefault="00634F4F" w:rsidP="00655670">
            <w:pPr>
              <w:rPr>
                <w:rFonts w:ascii="Verdana" w:hAnsi="Verdana"/>
                <w:sz w:val="18"/>
                <w:szCs w:val="18"/>
              </w:rPr>
            </w:pPr>
            <w:r w:rsidRPr="00DE79CB">
              <w:rPr>
                <w:rFonts w:ascii="Verdana" w:hAnsi="Verdana"/>
                <w:sz w:val="18"/>
                <w:szCs w:val="18"/>
                <w:lang w:val="en-GB"/>
              </w:rPr>
              <w:t>XOF</w:t>
            </w:r>
          </w:p>
        </w:tc>
        <w:tc>
          <w:tcPr>
            <w:tcW w:w="2880" w:type="dxa"/>
          </w:tcPr>
          <w:p w14:paraId="14741B7E" w14:textId="043E4869" w:rsidR="00634F4F" w:rsidRPr="00DE79CB" w:rsidRDefault="00984B83" w:rsidP="00655670">
            <w:pPr>
              <w:rPr>
                <w:rFonts w:ascii="Verdana" w:hAnsi="Verdana"/>
                <w:sz w:val="18"/>
                <w:szCs w:val="18"/>
              </w:rPr>
            </w:pPr>
            <w:r w:rsidRPr="00DE79CB">
              <w:rPr>
                <w:rFonts w:ascii="Verdana" w:hAnsi="Verdana"/>
                <w:sz w:val="18"/>
                <w:szCs w:val="18"/>
                <w:lang w:val="en-GB"/>
              </w:rPr>
              <w:t xml:space="preserve"> </w:t>
            </w:r>
            <w:r w:rsidRPr="00DE79CB">
              <w:rPr>
                <w:rFonts w:ascii="Verdana" w:hAnsi="Verdana"/>
                <w:sz w:val="18"/>
                <w:szCs w:val="18"/>
              </w:rPr>
              <w:t>97.934.398</w:t>
            </w:r>
          </w:p>
        </w:tc>
      </w:tr>
      <w:tr w:rsidR="00634F4F" w:rsidRPr="00DE79CB" w14:paraId="467D3535" w14:textId="77777777" w:rsidTr="00EA4F65">
        <w:tc>
          <w:tcPr>
            <w:tcW w:w="2802" w:type="dxa"/>
          </w:tcPr>
          <w:p w14:paraId="14CAFA23" w14:textId="77777777" w:rsidR="00634F4F" w:rsidRPr="00DE79CB" w:rsidRDefault="00634F4F" w:rsidP="00655670">
            <w:pPr>
              <w:rPr>
                <w:rFonts w:ascii="Verdana" w:hAnsi="Verdana"/>
                <w:sz w:val="18"/>
                <w:szCs w:val="18"/>
              </w:rPr>
            </w:pPr>
            <w:r w:rsidRPr="00DE79CB">
              <w:rPr>
                <w:rFonts w:ascii="Verdana" w:hAnsi="Verdana"/>
                <w:sz w:val="18"/>
                <w:szCs w:val="18"/>
                <w:lang w:val="en-GB"/>
              </w:rPr>
              <w:t>Jordan</w:t>
            </w:r>
          </w:p>
        </w:tc>
        <w:tc>
          <w:tcPr>
            <w:tcW w:w="2958" w:type="dxa"/>
          </w:tcPr>
          <w:p w14:paraId="49EAC7B6" w14:textId="77777777" w:rsidR="00634F4F" w:rsidRPr="00DE79CB" w:rsidRDefault="00634F4F" w:rsidP="00655670">
            <w:pPr>
              <w:rPr>
                <w:rFonts w:ascii="Verdana" w:hAnsi="Verdana"/>
                <w:sz w:val="18"/>
                <w:szCs w:val="18"/>
              </w:rPr>
            </w:pPr>
            <w:r w:rsidRPr="00DE79CB">
              <w:rPr>
                <w:rFonts w:ascii="Verdana" w:hAnsi="Verdana"/>
                <w:sz w:val="18"/>
                <w:szCs w:val="18"/>
                <w:lang w:val="en-GB"/>
              </w:rPr>
              <w:t>JOD</w:t>
            </w:r>
          </w:p>
        </w:tc>
        <w:tc>
          <w:tcPr>
            <w:tcW w:w="2880" w:type="dxa"/>
          </w:tcPr>
          <w:p w14:paraId="4EFC7765" w14:textId="5973412A" w:rsidR="00634F4F" w:rsidRPr="00DE79CB" w:rsidRDefault="00984B83" w:rsidP="00655670">
            <w:pPr>
              <w:rPr>
                <w:rFonts w:ascii="Verdana" w:hAnsi="Verdana"/>
                <w:sz w:val="18"/>
                <w:szCs w:val="18"/>
              </w:rPr>
            </w:pPr>
            <w:r w:rsidRPr="00DE79CB">
              <w:rPr>
                <w:rFonts w:ascii="Verdana" w:hAnsi="Verdana"/>
                <w:sz w:val="18"/>
                <w:szCs w:val="18"/>
                <w:lang w:val="en-GB"/>
              </w:rPr>
              <w:t xml:space="preserve"> </w:t>
            </w:r>
            <w:r w:rsidRPr="00DE79CB">
              <w:rPr>
                <w:rFonts w:ascii="Verdana" w:hAnsi="Verdana"/>
                <w:sz w:val="18"/>
                <w:szCs w:val="18"/>
              </w:rPr>
              <w:t>90.792</w:t>
            </w:r>
          </w:p>
        </w:tc>
      </w:tr>
      <w:tr w:rsidR="00634F4F" w:rsidRPr="00DE79CB" w14:paraId="3CAD9D39" w14:textId="77777777" w:rsidTr="00EA4F65">
        <w:tc>
          <w:tcPr>
            <w:tcW w:w="2802" w:type="dxa"/>
          </w:tcPr>
          <w:p w14:paraId="161E23D0" w14:textId="77777777" w:rsidR="00634F4F" w:rsidRPr="00DE79CB" w:rsidRDefault="00634F4F" w:rsidP="00655670">
            <w:pPr>
              <w:rPr>
                <w:rFonts w:ascii="Verdana" w:hAnsi="Verdana"/>
                <w:sz w:val="18"/>
                <w:szCs w:val="18"/>
              </w:rPr>
            </w:pPr>
            <w:r w:rsidRPr="00DE79CB">
              <w:rPr>
                <w:rFonts w:ascii="Verdana" w:hAnsi="Verdana"/>
                <w:sz w:val="18"/>
                <w:szCs w:val="18"/>
                <w:lang w:val="en-GB"/>
              </w:rPr>
              <w:t>Kenya</w:t>
            </w:r>
          </w:p>
        </w:tc>
        <w:tc>
          <w:tcPr>
            <w:tcW w:w="2958" w:type="dxa"/>
          </w:tcPr>
          <w:p w14:paraId="1D50AFBE" w14:textId="77777777" w:rsidR="00634F4F" w:rsidRPr="00DE79CB" w:rsidRDefault="00634F4F" w:rsidP="00655670">
            <w:pPr>
              <w:rPr>
                <w:rFonts w:ascii="Verdana" w:hAnsi="Verdana"/>
                <w:sz w:val="18"/>
                <w:szCs w:val="18"/>
              </w:rPr>
            </w:pPr>
            <w:r w:rsidRPr="00DE79CB">
              <w:rPr>
                <w:rFonts w:ascii="Verdana" w:hAnsi="Verdana"/>
                <w:sz w:val="18"/>
                <w:szCs w:val="18"/>
                <w:lang w:val="en-GB"/>
              </w:rPr>
              <w:t>KES</w:t>
            </w:r>
          </w:p>
        </w:tc>
        <w:tc>
          <w:tcPr>
            <w:tcW w:w="2880" w:type="dxa"/>
          </w:tcPr>
          <w:p w14:paraId="3B72C2F2" w14:textId="79B93E2B" w:rsidR="00634F4F" w:rsidRPr="00DE79CB" w:rsidRDefault="00984B83" w:rsidP="00655670">
            <w:pPr>
              <w:rPr>
                <w:rFonts w:ascii="Verdana" w:hAnsi="Verdana"/>
                <w:sz w:val="18"/>
                <w:szCs w:val="18"/>
              </w:rPr>
            </w:pPr>
            <w:r w:rsidRPr="00DE79CB">
              <w:rPr>
                <w:rFonts w:ascii="Verdana" w:hAnsi="Verdana"/>
                <w:sz w:val="18"/>
                <w:szCs w:val="18"/>
                <w:lang w:val="en-GB"/>
              </w:rPr>
              <w:t xml:space="preserve"> </w:t>
            </w:r>
            <w:r w:rsidRPr="00DE79CB">
              <w:rPr>
                <w:rFonts w:ascii="Verdana" w:hAnsi="Verdana"/>
                <w:sz w:val="18"/>
                <w:szCs w:val="18"/>
              </w:rPr>
              <w:t>20.100.832</w:t>
            </w:r>
          </w:p>
        </w:tc>
      </w:tr>
      <w:tr w:rsidR="0092448D" w:rsidRPr="00DE79CB" w14:paraId="57918526" w14:textId="026D8837" w:rsidTr="00EA4F65">
        <w:tc>
          <w:tcPr>
            <w:tcW w:w="2802" w:type="dxa"/>
          </w:tcPr>
          <w:p w14:paraId="5FDDD4ED" w14:textId="289E644B" w:rsidR="0092448D" w:rsidRPr="00DE79CB" w:rsidRDefault="0092448D" w:rsidP="00655670">
            <w:pPr>
              <w:rPr>
                <w:rFonts w:ascii="Verdana" w:hAnsi="Verdana"/>
                <w:sz w:val="18"/>
                <w:szCs w:val="18"/>
              </w:rPr>
            </w:pPr>
            <w:r w:rsidRPr="00DE79CB">
              <w:rPr>
                <w:rFonts w:ascii="Verdana" w:hAnsi="Verdana"/>
                <w:sz w:val="18"/>
                <w:szCs w:val="18"/>
                <w:lang w:val="en-GB"/>
              </w:rPr>
              <w:t>Lebanon*</w:t>
            </w:r>
          </w:p>
        </w:tc>
        <w:tc>
          <w:tcPr>
            <w:tcW w:w="2958" w:type="dxa"/>
          </w:tcPr>
          <w:p w14:paraId="5C3E774A" w14:textId="72D0462D" w:rsidR="0092448D" w:rsidRPr="00DE79CB" w:rsidRDefault="0092448D" w:rsidP="00655670">
            <w:pPr>
              <w:rPr>
                <w:rFonts w:ascii="Verdana" w:hAnsi="Verdana"/>
                <w:sz w:val="18"/>
                <w:szCs w:val="18"/>
              </w:rPr>
            </w:pPr>
            <w:r w:rsidRPr="00DE79CB">
              <w:rPr>
                <w:rFonts w:ascii="Verdana" w:hAnsi="Verdana"/>
                <w:sz w:val="18"/>
                <w:szCs w:val="18"/>
                <w:lang w:val="en-GB"/>
              </w:rPr>
              <w:t>USD</w:t>
            </w:r>
          </w:p>
        </w:tc>
        <w:tc>
          <w:tcPr>
            <w:tcW w:w="2880" w:type="dxa"/>
          </w:tcPr>
          <w:p w14:paraId="63734100" w14:textId="65E1B8F8" w:rsidR="0092448D" w:rsidRPr="00DE79CB" w:rsidRDefault="00984B83" w:rsidP="00655670">
            <w:pPr>
              <w:rPr>
                <w:rFonts w:ascii="Verdana" w:hAnsi="Verdana"/>
                <w:sz w:val="18"/>
                <w:szCs w:val="18"/>
              </w:rPr>
            </w:pPr>
            <w:r w:rsidRPr="00DE79CB">
              <w:rPr>
                <w:rFonts w:ascii="Verdana" w:hAnsi="Verdana"/>
                <w:sz w:val="18"/>
                <w:szCs w:val="18"/>
                <w:lang w:val="en-GB"/>
              </w:rPr>
              <w:t xml:space="preserve"> </w:t>
            </w:r>
            <w:r w:rsidRPr="00DE79CB">
              <w:rPr>
                <w:rFonts w:ascii="Verdana" w:hAnsi="Verdana"/>
                <w:sz w:val="18"/>
                <w:szCs w:val="18"/>
              </w:rPr>
              <w:t>194.443</w:t>
            </w:r>
          </w:p>
        </w:tc>
      </w:tr>
      <w:tr w:rsidR="0092448D" w:rsidRPr="00DE79CB" w14:paraId="5AA14FB6" w14:textId="77777777" w:rsidTr="00EA4F65">
        <w:tc>
          <w:tcPr>
            <w:tcW w:w="2802" w:type="dxa"/>
          </w:tcPr>
          <w:p w14:paraId="7B43F1D4" w14:textId="77777777" w:rsidR="0092448D" w:rsidRPr="00DE79CB" w:rsidRDefault="0092448D" w:rsidP="00655670">
            <w:pPr>
              <w:rPr>
                <w:rFonts w:ascii="Verdana" w:hAnsi="Verdana"/>
                <w:sz w:val="18"/>
                <w:szCs w:val="18"/>
              </w:rPr>
            </w:pPr>
            <w:r w:rsidRPr="00DE79CB">
              <w:rPr>
                <w:rFonts w:ascii="Verdana" w:hAnsi="Verdana"/>
                <w:sz w:val="18"/>
                <w:szCs w:val="18"/>
                <w:lang w:val="en-GB"/>
              </w:rPr>
              <w:t>Morocco</w:t>
            </w:r>
          </w:p>
        </w:tc>
        <w:tc>
          <w:tcPr>
            <w:tcW w:w="2958" w:type="dxa"/>
          </w:tcPr>
          <w:p w14:paraId="78A15DD4" w14:textId="77777777" w:rsidR="0092448D" w:rsidRPr="00DE79CB" w:rsidRDefault="0092448D" w:rsidP="00655670">
            <w:pPr>
              <w:rPr>
                <w:rFonts w:ascii="Verdana" w:hAnsi="Verdana"/>
                <w:sz w:val="18"/>
                <w:szCs w:val="18"/>
              </w:rPr>
            </w:pPr>
            <w:r w:rsidRPr="00DE79CB">
              <w:rPr>
                <w:rFonts w:ascii="Verdana" w:hAnsi="Verdana"/>
                <w:sz w:val="18"/>
                <w:szCs w:val="18"/>
                <w:lang w:val="en-GB"/>
              </w:rPr>
              <w:t>MAD</w:t>
            </w:r>
          </w:p>
        </w:tc>
        <w:tc>
          <w:tcPr>
            <w:tcW w:w="2880" w:type="dxa"/>
          </w:tcPr>
          <w:p w14:paraId="61998C1E" w14:textId="1EE7ADC2" w:rsidR="0092448D" w:rsidRPr="00DE79CB" w:rsidRDefault="00984B83" w:rsidP="00655670">
            <w:pPr>
              <w:rPr>
                <w:rFonts w:ascii="Verdana" w:hAnsi="Verdana"/>
                <w:sz w:val="18"/>
                <w:szCs w:val="18"/>
              </w:rPr>
            </w:pPr>
            <w:r w:rsidRPr="00DE79CB">
              <w:rPr>
                <w:rFonts w:ascii="Verdana" w:hAnsi="Verdana"/>
                <w:sz w:val="18"/>
                <w:szCs w:val="18"/>
                <w:lang w:val="en-GB"/>
              </w:rPr>
              <w:t xml:space="preserve"> </w:t>
            </w:r>
            <w:r w:rsidRPr="00DE79CB">
              <w:rPr>
                <w:rFonts w:ascii="Verdana" w:hAnsi="Verdana"/>
                <w:sz w:val="18"/>
                <w:szCs w:val="18"/>
              </w:rPr>
              <w:t>1.595.843</w:t>
            </w:r>
          </w:p>
        </w:tc>
      </w:tr>
      <w:tr w:rsidR="0092448D" w:rsidRPr="00DE79CB" w14:paraId="6FE94435" w14:textId="77777777" w:rsidTr="00EA4F65">
        <w:tc>
          <w:tcPr>
            <w:tcW w:w="2802" w:type="dxa"/>
          </w:tcPr>
          <w:p w14:paraId="787CE876" w14:textId="77777777" w:rsidR="0092448D" w:rsidRPr="00DE79CB" w:rsidRDefault="0092448D" w:rsidP="00655670">
            <w:pPr>
              <w:rPr>
                <w:rFonts w:ascii="Verdana" w:hAnsi="Verdana"/>
                <w:sz w:val="18"/>
                <w:szCs w:val="18"/>
              </w:rPr>
            </w:pPr>
            <w:r w:rsidRPr="00DE79CB">
              <w:rPr>
                <w:rFonts w:ascii="Verdana" w:hAnsi="Verdana"/>
                <w:sz w:val="18"/>
                <w:szCs w:val="18"/>
                <w:lang w:val="en-GB"/>
              </w:rPr>
              <w:t>Mozambique*</w:t>
            </w:r>
          </w:p>
        </w:tc>
        <w:tc>
          <w:tcPr>
            <w:tcW w:w="2958" w:type="dxa"/>
          </w:tcPr>
          <w:p w14:paraId="6AEF01DB" w14:textId="77777777" w:rsidR="0092448D" w:rsidRPr="00DE79CB" w:rsidRDefault="0092448D" w:rsidP="00655670">
            <w:pPr>
              <w:rPr>
                <w:rFonts w:ascii="Verdana" w:hAnsi="Verdana"/>
                <w:sz w:val="18"/>
                <w:szCs w:val="18"/>
              </w:rPr>
            </w:pPr>
            <w:r w:rsidRPr="00DE79CB">
              <w:rPr>
                <w:rFonts w:ascii="Verdana" w:hAnsi="Verdana"/>
                <w:sz w:val="18"/>
                <w:szCs w:val="18"/>
                <w:lang w:val="en-GB"/>
              </w:rPr>
              <w:t>USD</w:t>
            </w:r>
          </w:p>
        </w:tc>
        <w:tc>
          <w:tcPr>
            <w:tcW w:w="2880" w:type="dxa"/>
          </w:tcPr>
          <w:p w14:paraId="6E272CA9" w14:textId="11A9F4EC" w:rsidR="0092448D" w:rsidRPr="00DE79CB" w:rsidRDefault="00984B83" w:rsidP="00655670">
            <w:pPr>
              <w:rPr>
                <w:rFonts w:ascii="Verdana" w:hAnsi="Verdana"/>
                <w:sz w:val="18"/>
                <w:szCs w:val="18"/>
              </w:rPr>
            </w:pPr>
            <w:r w:rsidRPr="00DE79CB">
              <w:rPr>
                <w:rFonts w:ascii="Verdana" w:hAnsi="Verdana"/>
                <w:sz w:val="18"/>
                <w:szCs w:val="18"/>
                <w:lang w:val="en-GB"/>
              </w:rPr>
              <w:t xml:space="preserve"> </w:t>
            </w:r>
            <w:r w:rsidRPr="00DE79CB">
              <w:rPr>
                <w:rFonts w:ascii="Verdana" w:hAnsi="Verdana"/>
                <w:sz w:val="18"/>
                <w:szCs w:val="18"/>
              </w:rPr>
              <w:t>185.444</w:t>
            </w:r>
          </w:p>
        </w:tc>
      </w:tr>
      <w:tr w:rsidR="0092448D" w:rsidRPr="00DE79CB" w14:paraId="00600C05" w14:textId="77777777" w:rsidTr="00EA4F65">
        <w:tc>
          <w:tcPr>
            <w:tcW w:w="2802" w:type="dxa"/>
          </w:tcPr>
          <w:p w14:paraId="228B34D8" w14:textId="77777777" w:rsidR="0092448D" w:rsidRPr="00DE79CB" w:rsidRDefault="0092448D" w:rsidP="00655670">
            <w:pPr>
              <w:rPr>
                <w:rFonts w:ascii="Verdana" w:hAnsi="Verdana"/>
                <w:sz w:val="18"/>
                <w:szCs w:val="18"/>
              </w:rPr>
            </w:pPr>
            <w:r w:rsidRPr="00DE79CB">
              <w:rPr>
                <w:rFonts w:ascii="Verdana" w:hAnsi="Verdana"/>
                <w:sz w:val="18"/>
                <w:szCs w:val="18"/>
                <w:lang w:val="en-GB"/>
              </w:rPr>
              <w:t>Nigeria*</w:t>
            </w:r>
          </w:p>
        </w:tc>
        <w:tc>
          <w:tcPr>
            <w:tcW w:w="2958" w:type="dxa"/>
          </w:tcPr>
          <w:p w14:paraId="517704EE" w14:textId="77777777" w:rsidR="0092448D" w:rsidRPr="00DE79CB" w:rsidRDefault="0092448D" w:rsidP="00655670">
            <w:pPr>
              <w:rPr>
                <w:rFonts w:ascii="Verdana" w:hAnsi="Verdana"/>
                <w:sz w:val="18"/>
                <w:szCs w:val="18"/>
              </w:rPr>
            </w:pPr>
            <w:r w:rsidRPr="00DE79CB">
              <w:rPr>
                <w:rFonts w:ascii="Verdana" w:hAnsi="Verdana"/>
                <w:sz w:val="18"/>
                <w:szCs w:val="18"/>
                <w:lang w:val="en-GB"/>
              </w:rPr>
              <w:t>USD</w:t>
            </w:r>
          </w:p>
        </w:tc>
        <w:tc>
          <w:tcPr>
            <w:tcW w:w="2880" w:type="dxa"/>
          </w:tcPr>
          <w:p w14:paraId="5E04FCB8" w14:textId="1374D9AD" w:rsidR="0092448D" w:rsidRPr="00DE79CB" w:rsidRDefault="0092448D" w:rsidP="00655670">
            <w:pPr>
              <w:rPr>
                <w:rFonts w:ascii="Verdana" w:hAnsi="Verdana"/>
                <w:sz w:val="18"/>
                <w:szCs w:val="18"/>
              </w:rPr>
            </w:pPr>
            <w:r w:rsidRPr="00DE79CB">
              <w:rPr>
                <w:rFonts w:ascii="Verdana" w:hAnsi="Verdana"/>
                <w:sz w:val="18"/>
                <w:szCs w:val="18"/>
                <w:lang w:val="en-GB"/>
              </w:rPr>
              <w:t>121,872</w:t>
            </w:r>
          </w:p>
        </w:tc>
      </w:tr>
      <w:tr w:rsidR="0092448D" w:rsidRPr="00DE79CB" w14:paraId="7F261288" w14:textId="77777777" w:rsidTr="00EA4F65">
        <w:tc>
          <w:tcPr>
            <w:tcW w:w="2802" w:type="dxa"/>
          </w:tcPr>
          <w:p w14:paraId="70909A97" w14:textId="77777777" w:rsidR="0092448D" w:rsidRPr="00DE79CB" w:rsidRDefault="0092448D" w:rsidP="00655670">
            <w:pPr>
              <w:rPr>
                <w:rFonts w:ascii="Verdana" w:hAnsi="Verdana"/>
                <w:sz w:val="18"/>
                <w:szCs w:val="18"/>
              </w:rPr>
            </w:pPr>
            <w:r w:rsidRPr="00DE79CB">
              <w:rPr>
                <w:rFonts w:ascii="Verdana" w:hAnsi="Verdana"/>
                <w:sz w:val="18"/>
                <w:szCs w:val="18"/>
                <w:lang w:val="en-GB"/>
              </w:rPr>
              <w:t>Palestinian Territories</w:t>
            </w:r>
          </w:p>
        </w:tc>
        <w:tc>
          <w:tcPr>
            <w:tcW w:w="2958" w:type="dxa"/>
          </w:tcPr>
          <w:p w14:paraId="7687905B" w14:textId="77777777" w:rsidR="0092448D" w:rsidRPr="00DE79CB" w:rsidRDefault="0092448D" w:rsidP="00655670">
            <w:pPr>
              <w:rPr>
                <w:rFonts w:ascii="Verdana" w:hAnsi="Verdana"/>
                <w:sz w:val="18"/>
                <w:szCs w:val="18"/>
              </w:rPr>
            </w:pPr>
            <w:r w:rsidRPr="00DE79CB">
              <w:rPr>
                <w:rFonts w:ascii="Verdana" w:hAnsi="Verdana"/>
                <w:sz w:val="18"/>
                <w:szCs w:val="18"/>
                <w:lang w:val="en-GB"/>
              </w:rPr>
              <w:t>ILS</w:t>
            </w:r>
          </w:p>
        </w:tc>
        <w:tc>
          <w:tcPr>
            <w:tcW w:w="2880" w:type="dxa"/>
          </w:tcPr>
          <w:p w14:paraId="49B9FCDA" w14:textId="593794A2" w:rsidR="0092448D" w:rsidRPr="00DE79CB" w:rsidRDefault="00984B83" w:rsidP="00655670">
            <w:pPr>
              <w:rPr>
                <w:rFonts w:ascii="Verdana" w:hAnsi="Verdana"/>
                <w:sz w:val="18"/>
                <w:szCs w:val="18"/>
              </w:rPr>
            </w:pPr>
            <w:r w:rsidRPr="00DE79CB">
              <w:rPr>
                <w:rFonts w:ascii="Verdana" w:hAnsi="Verdana"/>
                <w:sz w:val="18"/>
                <w:szCs w:val="18"/>
                <w:lang w:val="en-GB"/>
              </w:rPr>
              <w:t xml:space="preserve"> </w:t>
            </w:r>
            <w:r w:rsidRPr="00DE79CB">
              <w:rPr>
                <w:rFonts w:ascii="Verdana" w:hAnsi="Verdana"/>
                <w:sz w:val="18"/>
                <w:szCs w:val="18"/>
              </w:rPr>
              <w:t>759.998</w:t>
            </w:r>
          </w:p>
        </w:tc>
      </w:tr>
      <w:tr w:rsidR="0092448D" w:rsidRPr="00DE79CB" w14:paraId="536113AC" w14:textId="77777777" w:rsidTr="00EA4F65">
        <w:tc>
          <w:tcPr>
            <w:tcW w:w="2802" w:type="dxa"/>
          </w:tcPr>
          <w:p w14:paraId="3396B631" w14:textId="77777777" w:rsidR="0092448D" w:rsidRPr="00DE79CB" w:rsidRDefault="0092448D" w:rsidP="00655670">
            <w:pPr>
              <w:rPr>
                <w:rFonts w:ascii="Verdana" w:hAnsi="Verdana"/>
                <w:sz w:val="18"/>
                <w:szCs w:val="18"/>
              </w:rPr>
            </w:pPr>
            <w:r w:rsidRPr="00DE79CB">
              <w:rPr>
                <w:rFonts w:ascii="Verdana" w:hAnsi="Verdana"/>
                <w:sz w:val="18"/>
                <w:szCs w:val="18"/>
                <w:lang w:val="en-GB"/>
              </w:rPr>
              <w:t>Senegal</w:t>
            </w:r>
          </w:p>
        </w:tc>
        <w:tc>
          <w:tcPr>
            <w:tcW w:w="2958" w:type="dxa"/>
          </w:tcPr>
          <w:p w14:paraId="37D855C9" w14:textId="77777777" w:rsidR="0092448D" w:rsidRPr="00DE79CB" w:rsidRDefault="0092448D" w:rsidP="00655670">
            <w:pPr>
              <w:rPr>
                <w:rFonts w:ascii="Verdana" w:hAnsi="Verdana"/>
                <w:sz w:val="18"/>
                <w:szCs w:val="18"/>
              </w:rPr>
            </w:pPr>
            <w:r w:rsidRPr="00DE79CB">
              <w:rPr>
                <w:rFonts w:ascii="Verdana" w:hAnsi="Verdana"/>
                <w:sz w:val="18"/>
                <w:szCs w:val="18"/>
                <w:lang w:val="en-GB"/>
              </w:rPr>
              <w:t>XOF</w:t>
            </w:r>
          </w:p>
        </w:tc>
        <w:tc>
          <w:tcPr>
            <w:tcW w:w="2880" w:type="dxa"/>
          </w:tcPr>
          <w:p w14:paraId="015FCDA6" w14:textId="654E5311" w:rsidR="0092448D" w:rsidRPr="00DE79CB" w:rsidRDefault="00984B83" w:rsidP="00655670">
            <w:pPr>
              <w:rPr>
                <w:rFonts w:ascii="Verdana" w:hAnsi="Verdana"/>
                <w:sz w:val="18"/>
                <w:szCs w:val="18"/>
              </w:rPr>
            </w:pPr>
            <w:r w:rsidRPr="00DE79CB">
              <w:rPr>
                <w:rFonts w:ascii="Verdana" w:hAnsi="Verdana"/>
                <w:sz w:val="18"/>
                <w:szCs w:val="18"/>
                <w:lang w:val="en-GB"/>
              </w:rPr>
              <w:t xml:space="preserve"> </w:t>
            </w:r>
            <w:r w:rsidRPr="00DE79CB">
              <w:rPr>
                <w:rFonts w:ascii="Verdana" w:hAnsi="Verdana"/>
                <w:sz w:val="18"/>
                <w:szCs w:val="18"/>
              </w:rPr>
              <w:t>96.936.447</w:t>
            </w:r>
          </w:p>
        </w:tc>
      </w:tr>
      <w:tr w:rsidR="0092448D" w:rsidRPr="00DE79CB" w14:paraId="1BF00CEF" w14:textId="77777777" w:rsidTr="00EA4F65">
        <w:tc>
          <w:tcPr>
            <w:tcW w:w="2802" w:type="dxa"/>
          </w:tcPr>
          <w:p w14:paraId="6E0C274D" w14:textId="77777777" w:rsidR="0092448D" w:rsidRPr="00DE79CB" w:rsidRDefault="0092448D" w:rsidP="00655670">
            <w:pPr>
              <w:rPr>
                <w:rFonts w:ascii="Verdana" w:hAnsi="Verdana"/>
                <w:sz w:val="18"/>
                <w:szCs w:val="18"/>
              </w:rPr>
            </w:pPr>
            <w:r w:rsidRPr="00DE79CB">
              <w:rPr>
                <w:rFonts w:ascii="Verdana" w:hAnsi="Verdana"/>
                <w:sz w:val="18"/>
                <w:szCs w:val="18"/>
                <w:lang w:val="en-GB"/>
              </w:rPr>
              <w:t>South Africa</w:t>
            </w:r>
          </w:p>
        </w:tc>
        <w:tc>
          <w:tcPr>
            <w:tcW w:w="2958" w:type="dxa"/>
          </w:tcPr>
          <w:p w14:paraId="634CB480" w14:textId="77777777" w:rsidR="0092448D" w:rsidRPr="00DE79CB" w:rsidRDefault="0092448D" w:rsidP="00655670">
            <w:pPr>
              <w:rPr>
                <w:rFonts w:ascii="Verdana" w:hAnsi="Verdana"/>
                <w:sz w:val="18"/>
                <w:szCs w:val="18"/>
              </w:rPr>
            </w:pPr>
            <w:r w:rsidRPr="00DE79CB">
              <w:rPr>
                <w:rFonts w:ascii="Verdana" w:hAnsi="Verdana"/>
                <w:sz w:val="18"/>
                <w:szCs w:val="18"/>
                <w:lang w:val="en-GB"/>
              </w:rPr>
              <w:t>ZAR</w:t>
            </w:r>
          </w:p>
        </w:tc>
        <w:tc>
          <w:tcPr>
            <w:tcW w:w="2880" w:type="dxa"/>
          </w:tcPr>
          <w:p w14:paraId="10B57256" w14:textId="4D440C3D" w:rsidR="0092448D" w:rsidRPr="00DE79CB" w:rsidRDefault="00984B83" w:rsidP="00655670">
            <w:pPr>
              <w:rPr>
                <w:rFonts w:ascii="Verdana" w:hAnsi="Verdana"/>
                <w:sz w:val="18"/>
                <w:szCs w:val="18"/>
              </w:rPr>
            </w:pPr>
            <w:r w:rsidRPr="00DE79CB">
              <w:rPr>
                <w:rFonts w:ascii="Verdana" w:hAnsi="Verdana"/>
                <w:sz w:val="18"/>
                <w:szCs w:val="18"/>
                <w:lang w:val="en-GB"/>
              </w:rPr>
              <w:t xml:space="preserve"> </w:t>
            </w:r>
            <w:r w:rsidRPr="00DE79CB">
              <w:rPr>
                <w:rFonts w:ascii="Verdana" w:hAnsi="Verdana"/>
                <w:sz w:val="18"/>
                <w:szCs w:val="18"/>
              </w:rPr>
              <w:t>2.504.820</w:t>
            </w:r>
          </w:p>
        </w:tc>
      </w:tr>
      <w:tr w:rsidR="0092448D" w:rsidRPr="00DE79CB" w14:paraId="1B322BC4" w14:textId="77777777" w:rsidTr="00EA4F65">
        <w:tc>
          <w:tcPr>
            <w:tcW w:w="2802" w:type="dxa"/>
          </w:tcPr>
          <w:p w14:paraId="2DFB9371" w14:textId="77777777" w:rsidR="0092448D" w:rsidRPr="00DE79CB" w:rsidRDefault="0092448D" w:rsidP="00655670">
            <w:pPr>
              <w:rPr>
                <w:rFonts w:ascii="Verdana" w:hAnsi="Verdana"/>
                <w:sz w:val="18"/>
                <w:szCs w:val="18"/>
              </w:rPr>
            </w:pPr>
            <w:r w:rsidRPr="00DE79CB">
              <w:rPr>
                <w:rFonts w:ascii="Verdana" w:hAnsi="Verdana"/>
                <w:sz w:val="18"/>
                <w:szCs w:val="18"/>
                <w:lang w:val="en-GB"/>
              </w:rPr>
              <w:t>Tunisia</w:t>
            </w:r>
          </w:p>
        </w:tc>
        <w:tc>
          <w:tcPr>
            <w:tcW w:w="2958" w:type="dxa"/>
          </w:tcPr>
          <w:p w14:paraId="27542F4B" w14:textId="77777777" w:rsidR="0092448D" w:rsidRPr="00DE79CB" w:rsidRDefault="0092448D" w:rsidP="00655670">
            <w:pPr>
              <w:rPr>
                <w:rFonts w:ascii="Verdana" w:hAnsi="Verdana"/>
                <w:sz w:val="18"/>
                <w:szCs w:val="18"/>
              </w:rPr>
            </w:pPr>
            <w:r w:rsidRPr="00DE79CB">
              <w:rPr>
                <w:rFonts w:ascii="Verdana" w:hAnsi="Verdana"/>
                <w:sz w:val="18"/>
                <w:szCs w:val="18"/>
                <w:lang w:val="en-GB"/>
              </w:rPr>
              <w:t>TND</w:t>
            </w:r>
          </w:p>
        </w:tc>
        <w:tc>
          <w:tcPr>
            <w:tcW w:w="2880" w:type="dxa"/>
          </w:tcPr>
          <w:p w14:paraId="63A71088" w14:textId="15DDD69D" w:rsidR="0092448D" w:rsidRPr="00DE79CB" w:rsidRDefault="00984B83" w:rsidP="00655670">
            <w:pPr>
              <w:rPr>
                <w:rFonts w:ascii="Verdana" w:hAnsi="Verdana"/>
                <w:sz w:val="18"/>
                <w:szCs w:val="18"/>
              </w:rPr>
            </w:pPr>
            <w:r w:rsidRPr="00DE79CB">
              <w:rPr>
                <w:rFonts w:ascii="Verdana" w:hAnsi="Verdana"/>
                <w:sz w:val="18"/>
                <w:szCs w:val="18"/>
                <w:lang w:val="en-GB"/>
              </w:rPr>
              <w:t xml:space="preserve"> </w:t>
            </w:r>
            <w:r w:rsidRPr="00DE79CB">
              <w:rPr>
                <w:rFonts w:ascii="Verdana" w:hAnsi="Verdana"/>
                <w:sz w:val="18"/>
                <w:szCs w:val="18"/>
              </w:rPr>
              <w:t>244.843</w:t>
            </w:r>
          </w:p>
        </w:tc>
      </w:tr>
      <w:tr w:rsidR="0092448D" w:rsidRPr="00DE79CB" w14:paraId="61CBD635" w14:textId="77777777" w:rsidTr="00EA4F65">
        <w:tc>
          <w:tcPr>
            <w:tcW w:w="2802" w:type="dxa"/>
          </w:tcPr>
          <w:p w14:paraId="1A68799E" w14:textId="77777777" w:rsidR="0092448D" w:rsidRPr="00DE79CB" w:rsidRDefault="0092448D" w:rsidP="00655670">
            <w:pPr>
              <w:rPr>
                <w:rFonts w:ascii="Verdana" w:hAnsi="Verdana"/>
                <w:sz w:val="18"/>
                <w:szCs w:val="18"/>
              </w:rPr>
            </w:pPr>
            <w:r w:rsidRPr="00DE79CB">
              <w:rPr>
                <w:rFonts w:ascii="Verdana" w:hAnsi="Verdana"/>
                <w:sz w:val="18"/>
                <w:szCs w:val="18"/>
                <w:lang w:val="en-GB"/>
              </w:rPr>
              <w:t>Uganda</w:t>
            </w:r>
          </w:p>
        </w:tc>
        <w:tc>
          <w:tcPr>
            <w:tcW w:w="2958" w:type="dxa"/>
          </w:tcPr>
          <w:p w14:paraId="350E64A3" w14:textId="77777777" w:rsidR="0092448D" w:rsidRPr="00DE79CB" w:rsidRDefault="0092448D" w:rsidP="00655670">
            <w:pPr>
              <w:rPr>
                <w:rFonts w:ascii="Verdana" w:hAnsi="Verdana"/>
                <w:sz w:val="18"/>
                <w:szCs w:val="18"/>
              </w:rPr>
            </w:pPr>
            <w:r w:rsidRPr="00DE79CB">
              <w:rPr>
                <w:rFonts w:ascii="Verdana" w:hAnsi="Verdana"/>
                <w:sz w:val="18"/>
                <w:szCs w:val="18"/>
                <w:lang w:val="en-GB"/>
              </w:rPr>
              <w:t>UGX</w:t>
            </w:r>
          </w:p>
        </w:tc>
        <w:tc>
          <w:tcPr>
            <w:tcW w:w="2880" w:type="dxa"/>
          </w:tcPr>
          <w:p w14:paraId="04378A93" w14:textId="7FCDCD72" w:rsidR="0092448D" w:rsidRPr="00DE79CB" w:rsidRDefault="0092448D" w:rsidP="00655670">
            <w:pPr>
              <w:rPr>
                <w:rFonts w:ascii="Verdana" w:hAnsi="Verdana"/>
                <w:sz w:val="18"/>
                <w:szCs w:val="18"/>
              </w:rPr>
            </w:pPr>
            <w:r w:rsidRPr="00DE79CB">
              <w:rPr>
                <w:rFonts w:ascii="Verdana" w:hAnsi="Verdana"/>
                <w:sz w:val="18"/>
                <w:szCs w:val="18"/>
                <w:lang w:val="en-GB"/>
              </w:rPr>
              <w:t>458,980,736</w:t>
            </w:r>
          </w:p>
        </w:tc>
      </w:tr>
      <w:tr w:rsidR="0092448D" w:rsidRPr="00DE79CB" w14:paraId="28939723" w14:textId="77777777" w:rsidTr="00EA4F65">
        <w:tc>
          <w:tcPr>
            <w:tcW w:w="2802" w:type="dxa"/>
          </w:tcPr>
          <w:p w14:paraId="4C35C695" w14:textId="77777777" w:rsidR="0092448D" w:rsidRPr="00DE79CB" w:rsidRDefault="0092448D" w:rsidP="00655670">
            <w:pPr>
              <w:rPr>
                <w:rFonts w:ascii="Verdana" w:hAnsi="Verdana"/>
                <w:sz w:val="18"/>
                <w:szCs w:val="18"/>
              </w:rPr>
            </w:pPr>
            <w:r w:rsidRPr="00DE79CB">
              <w:rPr>
                <w:rFonts w:ascii="Verdana" w:hAnsi="Verdana"/>
                <w:sz w:val="18"/>
                <w:szCs w:val="18"/>
                <w:lang w:val="en-GB"/>
              </w:rPr>
              <w:t>Vietnam*</w:t>
            </w:r>
          </w:p>
        </w:tc>
        <w:tc>
          <w:tcPr>
            <w:tcW w:w="2958" w:type="dxa"/>
          </w:tcPr>
          <w:p w14:paraId="46101201" w14:textId="77777777" w:rsidR="0092448D" w:rsidRPr="00DE79CB" w:rsidRDefault="0092448D" w:rsidP="00655670">
            <w:pPr>
              <w:rPr>
                <w:rFonts w:ascii="Verdana" w:hAnsi="Verdana"/>
                <w:sz w:val="18"/>
                <w:szCs w:val="18"/>
              </w:rPr>
            </w:pPr>
            <w:r w:rsidRPr="00DE79CB">
              <w:rPr>
                <w:rFonts w:ascii="Verdana" w:hAnsi="Verdana"/>
                <w:sz w:val="18"/>
                <w:szCs w:val="18"/>
                <w:lang w:val="en-GB"/>
              </w:rPr>
              <w:t>USD</w:t>
            </w:r>
          </w:p>
        </w:tc>
        <w:tc>
          <w:tcPr>
            <w:tcW w:w="2880" w:type="dxa"/>
          </w:tcPr>
          <w:p w14:paraId="718F7BF7" w14:textId="692B2DA7" w:rsidR="0092448D" w:rsidRPr="00DE79CB" w:rsidRDefault="00984B83" w:rsidP="00655670">
            <w:pPr>
              <w:rPr>
                <w:rFonts w:ascii="Verdana" w:hAnsi="Verdana"/>
                <w:sz w:val="18"/>
                <w:szCs w:val="18"/>
              </w:rPr>
            </w:pPr>
            <w:r w:rsidRPr="00DE79CB">
              <w:rPr>
                <w:rFonts w:ascii="Verdana" w:hAnsi="Verdana"/>
                <w:sz w:val="18"/>
                <w:szCs w:val="18"/>
                <w:lang w:val="en-GB"/>
              </w:rPr>
              <w:t xml:space="preserve"> </w:t>
            </w:r>
            <w:r w:rsidRPr="00DE79CB">
              <w:rPr>
                <w:rFonts w:ascii="Verdana" w:hAnsi="Verdana"/>
                <w:sz w:val="18"/>
                <w:szCs w:val="18"/>
              </w:rPr>
              <w:t>98.444</w:t>
            </w:r>
          </w:p>
        </w:tc>
      </w:tr>
      <w:bookmarkEnd w:id="24"/>
    </w:tbl>
    <w:p w14:paraId="62E12461" w14:textId="77777777" w:rsidR="00611F5F" w:rsidRPr="00DE79CB" w:rsidRDefault="00611F5F" w:rsidP="00655670">
      <w:pPr>
        <w:spacing w:after="0" w:line="240" w:lineRule="auto"/>
        <w:rPr>
          <w:rFonts w:ascii="Verdana" w:hAnsi="Verdana"/>
          <w:sz w:val="18"/>
          <w:szCs w:val="18"/>
        </w:rPr>
      </w:pPr>
    </w:p>
    <w:p w14:paraId="7B8E8E95" w14:textId="4C3A5709" w:rsidR="00634F4F" w:rsidRPr="005A6EF3" w:rsidRDefault="00634F4F" w:rsidP="00655670">
      <w:pPr>
        <w:spacing w:after="0" w:line="240" w:lineRule="auto"/>
        <w:rPr>
          <w:rFonts w:ascii="Verdana" w:hAnsi="Verdana"/>
          <w:i/>
          <w:sz w:val="18"/>
          <w:szCs w:val="18"/>
          <w:lang w:val="en-US"/>
        </w:rPr>
      </w:pPr>
      <w:r w:rsidRPr="00DE79CB">
        <w:rPr>
          <w:rFonts w:ascii="Verdana" w:hAnsi="Verdana"/>
          <w:i/>
          <w:iCs/>
          <w:sz w:val="18"/>
          <w:szCs w:val="18"/>
          <w:lang w:val="en-GB"/>
        </w:rPr>
        <w:t>*For various reasons (including fluctuations in local currency exchange rates), the ceilings for these countries are shown in EUR or USD. For these countries, EUR should be used instead of the local currency when applying the ceilings.</w:t>
      </w:r>
    </w:p>
    <w:p w14:paraId="2700E430" w14:textId="77777777" w:rsidR="00634F4F" w:rsidRPr="005A6EF3" w:rsidRDefault="00634F4F" w:rsidP="00655670">
      <w:pPr>
        <w:spacing w:after="0" w:line="240" w:lineRule="auto"/>
        <w:rPr>
          <w:rFonts w:ascii="Verdana" w:hAnsi="Verdana"/>
          <w:sz w:val="18"/>
          <w:szCs w:val="18"/>
          <w:lang w:val="en-US"/>
        </w:rPr>
      </w:pPr>
    </w:p>
    <w:p w14:paraId="4C814393" w14:textId="77777777" w:rsidR="00634F4F" w:rsidRPr="005A6EF3" w:rsidRDefault="00634F4F" w:rsidP="00655670">
      <w:pPr>
        <w:spacing w:after="0" w:line="240" w:lineRule="auto"/>
        <w:rPr>
          <w:rFonts w:ascii="Verdana" w:eastAsia="Verdana" w:hAnsi="Verdana" w:cs="Verdana"/>
          <w:sz w:val="18"/>
          <w:szCs w:val="18"/>
          <w:lang w:val="en-US"/>
        </w:rPr>
      </w:pPr>
    </w:p>
    <w:sectPr w:rsidR="00634F4F" w:rsidRPr="005A6EF3" w:rsidSect="00F932D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03E6B" w14:textId="77777777" w:rsidR="00D01AC4" w:rsidRDefault="00D01AC4" w:rsidP="002C0C77">
      <w:pPr>
        <w:spacing w:after="0" w:line="240" w:lineRule="auto"/>
      </w:pPr>
      <w:r>
        <w:separator/>
      </w:r>
    </w:p>
  </w:endnote>
  <w:endnote w:type="continuationSeparator" w:id="0">
    <w:p w14:paraId="3105626F" w14:textId="77777777" w:rsidR="00D01AC4" w:rsidRDefault="00D01AC4" w:rsidP="002C0C77">
      <w:pPr>
        <w:spacing w:after="0" w:line="240" w:lineRule="auto"/>
      </w:pPr>
      <w:r>
        <w:continuationSeparator/>
      </w:r>
    </w:p>
  </w:endnote>
  <w:endnote w:type="continuationNotice" w:id="1">
    <w:p w14:paraId="677DA0AF" w14:textId="77777777" w:rsidR="00D01AC4" w:rsidRDefault="00D01A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598454"/>
      <w:docPartObj>
        <w:docPartGallery w:val="Page Numbers (Bottom of Page)"/>
        <w:docPartUnique/>
      </w:docPartObj>
    </w:sdtPr>
    <w:sdtEndPr>
      <w:rPr>
        <w:rFonts w:ascii="Verdana" w:hAnsi="Verdana"/>
        <w:sz w:val="16"/>
        <w:szCs w:val="16"/>
      </w:rPr>
    </w:sdtEndPr>
    <w:sdtContent>
      <w:p w14:paraId="32A6BE3D" w14:textId="46D4FF85" w:rsidR="0048509D" w:rsidRPr="004B781B" w:rsidRDefault="0048509D">
        <w:pPr>
          <w:pStyle w:val="Voettekst"/>
          <w:jc w:val="right"/>
          <w:rPr>
            <w:rFonts w:ascii="Verdana" w:hAnsi="Verdana"/>
            <w:sz w:val="16"/>
            <w:szCs w:val="16"/>
          </w:rPr>
        </w:pPr>
        <w:r>
          <w:rPr>
            <w:rFonts w:ascii="Verdana" w:hAnsi="Verdana"/>
            <w:sz w:val="16"/>
            <w:szCs w:val="16"/>
            <w:lang w:val="en-GB"/>
          </w:rPr>
          <w:fldChar w:fldCharType="begin"/>
        </w:r>
        <w:r>
          <w:rPr>
            <w:rFonts w:ascii="Verdana" w:hAnsi="Verdana"/>
            <w:sz w:val="16"/>
            <w:szCs w:val="16"/>
            <w:lang w:val="en-GB"/>
          </w:rPr>
          <w:instrText>PAGE   \* MERGEFORMAT</w:instrText>
        </w:r>
        <w:r>
          <w:rPr>
            <w:rFonts w:ascii="Verdana" w:hAnsi="Verdana"/>
            <w:sz w:val="16"/>
            <w:szCs w:val="16"/>
            <w:lang w:val="en-GB"/>
          </w:rPr>
          <w:fldChar w:fldCharType="separate"/>
        </w:r>
        <w:r>
          <w:rPr>
            <w:rFonts w:ascii="Verdana" w:hAnsi="Verdana"/>
            <w:sz w:val="16"/>
            <w:szCs w:val="16"/>
            <w:lang w:val="en-GB"/>
          </w:rPr>
          <w:t>2</w:t>
        </w:r>
        <w:r>
          <w:rPr>
            <w:rFonts w:ascii="Verdana" w:hAnsi="Verdana"/>
            <w:sz w:val="16"/>
            <w:szCs w:val="16"/>
            <w:lang w:val="en-GB"/>
          </w:rPr>
          <w:fldChar w:fldCharType="end"/>
        </w:r>
      </w:p>
    </w:sdtContent>
  </w:sdt>
  <w:p w14:paraId="7349658C" w14:textId="77777777" w:rsidR="004C30A7" w:rsidRDefault="004C30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91820" w14:textId="77777777" w:rsidR="00D01AC4" w:rsidRDefault="00D01AC4" w:rsidP="002C0C77">
      <w:pPr>
        <w:spacing w:after="0" w:line="240" w:lineRule="auto"/>
      </w:pPr>
      <w:r>
        <w:separator/>
      </w:r>
    </w:p>
  </w:footnote>
  <w:footnote w:type="continuationSeparator" w:id="0">
    <w:p w14:paraId="2B9CA4AB" w14:textId="77777777" w:rsidR="00D01AC4" w:rsidRDefault="00D01AC4" w:rsidP="002C0C77">
      <w:pPr>
        <w:spacing w:after="0" w:line="240" w:lineRule="auto"/>
      </w:pPr>
      <w:r>
        <w:continuationSeparator/>
      </w:r>
    </w:p>
  </w:footnote>
  <w:footnote w:type="continuationNotice" w:id="1">
    <w:p w14:paraId="6C243431" w14:textId="77777777" w:rsidR="00D01AC4" w:rsidRDefault="00D01AC4">
      <w:pPr>
        <w:spacing w:after="0" w:line="240" w:lineRule="auto"/>
      </w:pPr>
    </w:p>
  </w:footnote>
  <w:footnote w:id="2">
    <w:p w14:paraId="53049DAB" w14:textId="555ED59E" w:rsidR="0091048C" w:rsidRPr="0038509F" w:rsidRDefault="0091048C">
      <w:pPr>
        <w:pStyle w:val="Voetnoottekst"/>
        <w:rPr>
          <w:rFonts w:ascii="Verdana" w:hAnsi="Verdana"/>
          <w:sz w:val="16"/>
          <w:szCs w:val="16"/>
        </w:rPr>
      </w:pPr>
      <w:r>
        <w:rPr>
          <w:rStyle w:val="Voetnootmarkering"/>
          <w:rFonts w:ascii="Verdana" w:hAnsi="Verdana"/>
          <w:sz w:val="16"/>
          <w:szCs w:val="16"/>
          <w:lang w:val="en-GB"/>
        </w:rPr>
        <w:footnoteRef/>
      </w:r>
      <w:r>
        <w:rPr>
          <w:rFonts w:ascii="Verdana" w:hAnsi="Verdana"/>
          <w:sz w:val="16"/>
          <w:szCs w:val="16"/>
          <w:lang w:val="en-GB"/>
        </w:rPr>
        <w:t xml:space="preserve"> https://english.rvo.nl/subsidies-financing/fair-focus-on-trade</w:t>
      </w:r>
    </w:p>
  </w:footnote>
  <w:footnote w:id="3">
    <w:p w14:paraId="56344A0A" w14:textId="412C42CD" w:rsidR="00F562E5" w:rsidRPr="00402BC1" w:rsidRDefault="00F562E5" w:rsidP="00F562E5">
      <w:pPr>
        <w:pStyle w:val="Voetnoottekst"/>
        <w:rPr>
          <w:rFonts w:ascii="Verdana" w:hAnsi="Verdana"/>
          <w:sz w:val="16"/>
          <w:szCs w:val="16"/>
          <w:lang w:val="en-GB"/>
        </w:rPr>
      </w:pPr>
      <w:r>
        <w:rPr>
          <w:rStyle w:val="Voetnootmarkering"/>
          <w:rFonts w:ascii="Verdana" w:hAnsi="Verdana"/>
          <w:sz w:val="16"/>
          <w:szCs w:val="16"/>
          <w:lang w:val="en-GB"/>
        </w:rPr>
        <w:footnoteRef/>
      </w:r>
      <w:r>
        <w:rPr>
          <w:lang w:val="en-GB"/>
        </w:rPr>
        <w:t xml:space="preserve"> </w:t>
      </w:r>
      <w:r w:rsidRPr="00402BC1">
        <w:rPr>
          <w:rFonts w:ascii="Verdana" w:hAnsi="Verdana"/>
          <w:sz w:val="16"/>
          <w:szCs w:val="16"/>
          <w:lang w:val="en-GB"/>
        </w:rPr>
        <w:t>Parliamentary Letter of June 27, 2025, Parliamentary Papers II, 2024-2025, 36180, no. 168, "Do what we do best - A Strategy for Foreign Trade and Development Cooperation.</w:t>
      </w:r>
    </w:p>
  </w:footnote>
  <w:footnote w:id="4">
    <w:p w14:paraId="25C6A9C0" w14:textId="11DA84BE" w:rsidR="00ED58A0" w:rsidRPr="005A6EF3" w:rsidRDefault="00ED58A0">
      <w:pPr>
        <w:pStyle w:val="Voetnoottekst"/>
        <w:rPr>
          <w:lang w:val="en-US"/>
        </w:rPr>
      </w:pPr>
      <w:r>
        <w:rPr>
          <w:rStyle w:val="Voetnootmarkering"/>
          <w:rFonts w:ascii="Verdana" w:hAnsi="Verdana"/>
          <w:sz w:val="16"/>
          <w:szCs w:val="16"/>
          <w:lang w:val="en-GB"/>
        </w:rPr>
        <w:footnoteRef/>
      </w:r>
      <w:r>
        <w:rPr>
          <w:rFonts w:ascii="Verdana" w:hAnsi="Verdana"/>
          <w:sz w:val="16"/>
          <w:szCs w:val="16"/>
          <w:lang w:val="en-GB"/>
        </w:rPr>
        <w:t xml:space="preserve"> </w:t>
      </w:r>
      <w:r w:rsidR="00AD65FD">
        <w:rPr>
          <w:rFonts w:ascii="Verdana" w:hAnsi="Verdana"/>
          <w:sz w:val="16"/>
          <w:szCs w:val="16"/>
          <w:lang w:val="en-GB"/>
        </w:rPr>
        <w:t>When it concerns raw materials, l</w:t>
      </w:r>
      <w:r>
        <w:rPr>
          <w:rFonts w:ascii="Verdana" w:hAnsi="Verdana"/>
          <w:sz w:val="16"/>
          <w:szCs w:val="16"/>
          <w:lang w:val="en-GB"/>
        </w:rPr>
        <w:t>ong and complex commodity value chains can be difficult to trace for Dutch enterprises at the end of these chains, making their impact a lot more indirect. Nevertheless, lesson-sharing under the renewable energy covenant, for example, will help enterprises in the Netherlands implement Responsible Business Conduct requirements.</w:t>
      </w:r>
    </w:p>
  </w:footnote>
  <w:footnote w:id="5">
    <w:p w14:paraId="5E9367A1" w14:textId="77777777" w:rsidR="006B2307" w:rsidRPr="000616F2" w:rsidRDefault="006B2307" w:rsidP="006B2307">
      <w:pPr>
        <w:pStyle w:val="Voetnoottekst"/>
        <w:rPr>
          <w:rFonts w:ascii="Verdana" w:hAnsi="Verdana"/>
          <w:sz w:val="16"/>
          <w:szCs w:val="16"/>
          <w:lang w:val="en-US"/>
        </w:rPr>
      </w:pPr>
      <w:r>
        <w:rPr>
          <w:rStyle w:val="Voetnootmarkering"/>
          <w:rFonts w:ascii="Verdana" w:hAnsi="Verdana"/>
          <w:sz w:val="16"/>
          <w:szCs w:val="16"/>
          <w:lang w:val="en-GB"/>
        </w:rPr>
        <w:footnoteRef/>
      </w:r>
      <w:r>
        <w:rPr>
          <w:rFonts w:ascii="Verdana" w:hAnsi="Verdana"/>
          <w:sz w:val="16"/>
          <w:szCs w:val="16"/>
          <w:lang w:val="en-GB"/>
        </w:rPr>
        <w:t xml:space="preserve"> This primarily includes international frameworks such as the OECD guidelines and the United Nations Guiding Principles on Business &amp; Human Rights and European CSR and related laws and regulations such as CSDDD, the </w:t>
      </w:r>
      <w:r w:rsidRPr="000616F2">
        <w:rPr>
          <w:rFonts w:ascii="Verdana" w:hAnsi="Verdana"/>
          <w:sz w:val="16"/>
          <w:szCs w:val="16"/>
          <w:lang w:val="en-GB"/>
        </w:rPr>
        <w:t>Regulation on Deforestation, the Regulation on Forced Labour, and the Regulation on Conflict Minerals.</w:t>
      </w:r>
    </w:p>
  </w:footnote>
  <w:footnote w:id="6">
    <w:p w14:paraId="38812B57" w14:textId="020EBE9B" w:rsidR="00FA7BB3" w:rsidRPr="000616F2" w:rsidRDefault="00FA7BB3" w:rsidP="00FA7BB3">
      <w:pPr>
        <w:pStyle w:val="Voetnoottekst"/>
        <w:rPr>
          <w:rFonts w:ascii="Verdana" w:hAnsi="Verdana"/>
          <w:sz w:val="16"/>
          <w:szCs w:val="16"/>
          <w:lang w:val="en-US"/>
        </w:rPr>
      </w:pPr>
      <w:r w:rsidRPr="000616F2">
        <w:rPr>
          <w:rStyle w:val="Voetnootmarkering"/>
          <w:rFonts w:ascii="Verdana" w:hAnsi="Verdana"/>
          <w:sz w:val="16"/>
          <w:szCs w:val="16"/>
          <w:lang w:val="en-GB"/>
        </w:rPr>
        <w:footnoteRef/>
      </w:r>
      <w:r w:rsidR="00820BC5" w:rsidRPr="000616F2">
        <w:rPr>
          <w:rFonts w:ascii="Verdana" w:hAnsi="Verdana"/>
          <w:sz w:val="16"/>
          <w:szCs w:val="16"/>
          <w:lang w:val="en-GB"/>
        </w:rPr>
        <w:t xml:space="preserve"> This primarily includes international frameworks such as the OECD guidelines and the United Nations Guiding Principles on Business &amp; Human Rights and European CSR and related laws and regulations such as CSDDD, the Regulation on Deforestation, the Regulation on Forced Labour, and the Regulation on Conflict Minerals.</w:t>
      </w:r>
    </w:p>
  </w:footnote>
  <w:footnote w:id="7">
    <w:p w14:paraId="1ABB089A" w14:textId="617544A5" w:rsidR="00F45F47" w:rsidRPr="00402BC1" w:rsidRDefault="00F45F47" w:rsidP="00F45F47">
      <w:pPr>
        <w:pStyle w:val="Voetnoottekst"/>
        <w:rPr>
          <w:rFonts w:ascii="Verdana" w:hAnsi="Verdana"/>
          <w:sz w:val="16"/>
          <w:szCs w:val="16"/>
          <w:lang w:val="en-US"/>
        </w:rPr>
      </w:pPr>
      <w:r w:rsidRPr="000616F2">
        <w:rPr>
          <w:rStyle w:val="Voetnootmarkering"/>
          <w:rFonts w:ascii="Verdana" w:hAnsi="Verdana"/>
          <w:sz w:val="16"/>
          <w:szCs w:val="16"/>
        </w:rPr>
        <w:footnoteRef/>
      </w:r>
      <w:r w:rsidRPr="000616F2">
        <w:rPr>
          <w:rFonts w:ascii="Verdana" w:hAnsi="Verdana"/>
          <w:sz w:val="16"/>
          <w:szCs w:val="16"/>
          <w:lang w:val="en-US"/>
        </w:rPr>
        <w:t xml:space="preserve"> This approach refers to collaboration between government, the private sector, knowledge institutions, and civil society </w:t>
      </w:r>
      <w:proofErr w:type="spellStart"/>
      <w:r w:rsidRPr="000616F2">
        <w:rPr>
          <w:rFonts w:ascii="Verdana" w:hAnsi="Verdana"/>
          <w:sz w:val="16"/>
          <w:szCs w:val="16"/>
          <w:lang w:val="en-US"/>
        </w:rPr>
        <w:t>organisations</w:t>
      </w:r>
      <w:proofErr w:type="spellEnd"/>
      <w:r w:rsidRPr="000616F2">
        <w:rPr>
          <w:rFonts w:ascii="Verdana" w:hAnsi="Verdana"/>
          <w:sz w:val="16"/>
          <w:szCs w:val="16"/>
          <w:lang w:val="en-US"/>
        </w:rPr>
        <w:t xml:space="preserve"> in order to achieve shared economic and development goals</w:t>
      </w:r>
      <w:r w:rsidRPr="00402BC1">
        <w:rPr>
          <w:rFonts w:ascii="Verdana" w:hAnsi="Verdana"/>
          <w:sz w:val="16"/>
          <w:szCs w:val="16"/>
          <w:lang w:val="en-US"/>
        </w:rPr>
        <w:t>.</w:t>
      </w:r>
    </w:p>
    <w:p w14:paraId="45DD1548" w14:textId="1445C71A" w:rsidR="00F45F47" w:rsidRPr="00402BC1" w:rsidRDefault="00F45F47">
      <w:pPr>
        <w:pStyle w:val="Voetnoottekst"/>
        <w:rPr>
          <w:lang w:val="en-US"/>
        </w:rPr>
      </w:pPr>
      <w:r>
        <w:rPr>
          <w:lang w:val="en-US"/>
        </w:rPr>
        <w:t xml:space="preserve"> </w:t>
      </w:r>
    </w:p>
  </w:footnote>
  <w:footnote w:id="8">
    <w:p w14:paraId="54852223" w14:textId="1AB42444" w:rsidR="00F05100" w:rsidRPr="000616F2" w:rsidRDefault="00F05100">
      <w:pPr>
        <w:pStyle w:val="Voetnoottekst"/>
        <w:rPr>
          <w:rFonts w:ascii="Verdana" w:hAnsi="Verdana"/>
          <w:sz w:val="16"/>
          <w:szCs w:val="16"/>
          <w:lang w:val="en-US"/>
        </w:rPr>
      </w:pPr>
      <w:r w:rsidRPr="000616F2">
        <w:rPr>
          <w:rStyle w:val="Voetnootmarkering"/>
          <w:rFonts w:ascii="Verdana" w:hAnsi="Verdana"/>
          <w:sz w:val="16"/>
          <w:szCs w:val="16"/>
          <w:lang w:val="en-GB"/>
        </w:rPr>
        <w:footnoteRef/>
      </w:r>
      <w:r w:rsidRPr="000616F2">
        <w:rPr>
          <w:rFonts w:ascii="Verdana" w:hAnsi="Verdana"/>
          <w:sz w:val="16"/>
          <w:szCs w:val="16"/>
          <w:lang w:val="en-GB"/>
        </w:rPr>
        <w:t xml:space="preserve"> https://www.rvo.nl/subsidies-financiering/subsidieprogramma-verantwoord-ondernemen-spvo</w:t>
      </w:r>
    </w:p>
  </w:footnote>
  <w:footnote w:id="9">
    <w:p w14:paraId="2EC7FC00" w14:textId="2CC2EB72" w:rsidR="00F05100" w:rsidRPr="000616F2" w:rsidRDefault="00F05100">
      <w:pPr>
        <w:pStyle w:val="Voetnoottekst"/>
        <w:rPr>
          <w:rFonts w:ascii="Verdana" w:hAnsi="Verdana"/>
          <w:sz w:val="16"/>
          <w:szCs w:val="16"/>
          <w:lang w:val="en-US"/>
        </w:rPr>
      </w:pPr>
      <w:r w:rsidRPr="000616F2">
        <w:rPr>
          <w:rStyle w:val="Voetnootmarkering"/>
          <w:rFonts w:ascii="Verdana" w:hAnsi="Verdana"/>
          <w:sz w:val="16"/>
          <w:szCs w:val="16"/>
          <w:lang w:val="en-GB"/>
        </w:rPr>
        <w:footnoteRef/>
      </w:r>
      <w:r w:rsidRPr="000616F2">
        <w:rPr>
          <w:rFonts w:ascii="Verdana" w:hAnsi="Verdana"/>
          <w:sz w:val="16"/>
          <w:szCs w:val="16"/>
          <w:lang w:val="en-GB"/>
        </w:rPr>
        <w:t xml:space="preserve"> https://www.rvo.nl/subsidies-financiering/sectorale-samenwerking-imvo</w:t>
      </w:r>
    </w:p>
  </w:footnote>
  <w:footnote w:id="10">
    <w:p w14:paraId="636BE3E4" w14:textId="0CCC4E7F" w:rsidR="00F05100" w:rsidRPr="000616F2" w:rsidRDefault="00F05100">
      <w:pPr>
        <w:pStyle w:val="Voetnoottekst"/>
        <w:rPr>
          <w:rFonts w:ascii="Verdana" w:hAnsi="Verdana"/>
          <w:sz w:val="16"/>
          <w:szCs w:val="16"/>
          <w:lang w:val="en-US"/>
        </w:rPr>
      </w:pPr>
      <w:r w:rsidRPr="000616F2">
        <w:rPr>
          <w:rStyle w:val="Voetnootmarkering"/>
          <w:rFonts w:ascii="Verdana" w:hAnsi="Verdana"/>
          <w:sz w:val="16"/>
          <w:szCs w:val="16"/>
          <w:lang w:val="en-GB"/>
        </w:rPr>
        <w:footnoteRef/>
      </w:r>
      <w:r w:rsidRPr="000616F2">
        <w:rPr>
          <w:rFonts w:ascii="Verdana" w:hAnsi="Verdana"/>
          <w:sz w:val="16"/>
          <w:szCs w:val="16"/>
          <w:lang w:val="en-GB"/>
        </w:rPr>
        <w:t xml:space="preserve"> https://europeanpartnership-responsibleminerals.eu/</w:t>
      </w:r>
    </w:p>
  </w:footnote>
  <w:footnote w:id="11">
    <w:p w14:paraId="4EB2656A" w14:textId="38D04F15" w:rsidR="00F05100" w:rsidRPr="005A6EF3" w:rsidRDefault="00F05100">
      <w:pPr>
        <w:pStyle w:val="Voetnoottekst"/>
        <w:rPr>
          <w:lang w:val="en-US"/>
        </w:rPr>
      </w:pPr>
      <w:r w:rsidRPr="000616F2">
        <w:rPr>
          <w:rStyle w:val="Voetnootmarkering"/>
          <w:rFonts w:ascii="Verdana" w:hAnsi="Verdana"/>
          <w:sz w:val="16"/>
          <w:szCs w:val="16"/>
          <w:lang w:val="en-GB"/>
        </w:rPr>
        <w:footnoteRef/>
      </w:r>
      <w:r w:rsidRPr="000616F2">
        <w:rPr>
          <w:rFonts w:ascii="Verdana" w:hAnsi="Verdana"/>
          <w:sz w:val="16"/>
          <w:szCs w:val="16"/>
          <w:lang w:val="en-GB"/>
        </w:rPr>
        <w:t xml:space="preserve"> https://www.rvo.nl/onderwerpen/mvo-steunpunt</w:t>
      </w:r>
    </w:p>
  </w:footnote>
  <w:footnote w:id="12">
    <w:p w14:paraId="287F0144" w14:textId="49DCF71C" w:rsidR="006F1010" w:rsidRPr="005A6EF3" w:rsidRDefault="006F1010">
      <w:pPr>
        <w:pStyle w:val="Voetnoottekst"/>
        <w:rPr>
          <w:rFonts w:ascii="Verdana" w:hAnsi="Verdana"/>
          <w:sz w:val="16"/>
          <w:szCs w:val="16"/>
          <w:lang w:val="en-US"/>
        </w:rPr>
      </w:pPr>
      <w:r>
        <w:rPr>
          <w:rStyle w:val="Voetnootmarkering"/>
          <w:rFonts w:ascii="Verdana" w:hAnsi="Verdana"/>
          <w:sz w:val="16"/>
          <w:szCs w:val="16"/>
          <w:lang w:val="en-GB"/>
        </w:rPr>
        <w:footnoteRef/>
      </w:r>
      <w:r>
        <w:rPr>
          <w:rFonts w:ascii="Verdana" w:hAnsi="Verdana"/>
          <w:sz w:val="16"/>
          <w:szCs w:val="16"/>
          <w:lang w:val="en-GB"/>
        </w:rPr>
        <w:t xml:space="preserve"> www.oesorichtlijnen.nl</w:t>
      </w:r>
    </w:p>
  </w:footnote>
  <w:footnote w:id="13">
    <w:p w14:paraId="7E70106B" w14:textId="77777777" w:rsidR="00BF12FA" w:rsidRPr="000616F2" w:rsidRDefault="00BF12FA" w:rsidP="00BF12FA">
      <w:pPr>
        <w:pStyle w:val="Voetnoottekst"/>
        <w:rPr>
          <w:rFonts w:ascii="Verdana" w:hAnsi="Verdana"/>
          <w:sz w:val="16"/>
          <w:szCs w:val="16"/>
          <w:lang w:val="en-US"/>
        </w:rPr>
      </w:pPr>
      <w:r>
        <w:rPr>
          <w:rStyle w:val="Voetnootmarkering"/>
          <w:rFonts w:ascii="Verdana" w:hAnsi="Verdana"/>
          <w:sz w:val="16"/>
          <w:szCs w:val="16"/>
          <w:lang w:val="en-GB"/>
        </w:rPr>
        <w:footnoteRef/>
      </w:r>
      <w:r>
        <w:rPr>
          <w:rFonts w:ascii="Verdana" w:hAnsi="Verdana"/>
          <w:sz w:val="16"/>
          <w:szCs w:val="16"/>
          <w:lang w:val="en-GB"/>
        </w:rPr>
        <w:t xml:space="preserve"> </w:t>
      </w:r>
      <w:r w:rsidRPr="000616F2">
        <w:rPr>
          <w:rFonts w:ascii="Verdana" w:hAnsi="Verdana"/>
          <w:sz w:val="16"/>
          <w:szCs w:val="16"/>
          <w:lang w:val="en-GB"/>
        </w:rPr>
        <w:t>Amended motion by MP De Korte on including the right to a living wage as an ambition in the new development assistance grant frameworks (replacing 36180-159)</w:t>
      </w:r>
    </w:p>
  </w:footnote>
  <w:footnote w:id="14">
    <w:p w14:paraId="2C32D687" w14:textId="77777777" w:rsidR="00BF12FA" w:rsidRPr="005A6EF3" w:rsidRDefault="00BF12FA" w:rsidP="00BF12FA">
      <w:pPr>
        <w:pStyle w:val="Voetnoottekst"/>
        <w:rPr>
          <w:rFonts w:ascii="Verdana" w:hAnsi="Verdana"/>
          <w:sz w:val="16"/>
          <w:szCs w:val="16"/>
          <w:lang w:val="en-US"/>
        </w:rPr>
      </w:pPr>
      <w:r w:rsidRPr="000616F2">
        <w:rPr>
          <w:rStyle w:val="Voetnootmarkering"/>
          <w:rFonts w:ascii="Verdana" w:hAnsi="Verdana"/>
          <w:sz w:val="16"/>
          <w:szCs w:val="16"/>
          <w:lang w:val="en-GB"/>
        </w:rPr>
        <w:footnoteRef/>
      </w:r>
      <w:r w:rsidRPr="000616F2">
        <w:rPr>
          <w:rFonts w:ascii="Verdana" w:hAnsi="Verdana"/>
          <w:sz w:val="16"/>
          <w:szCs w:val="16"/>
          <w:lang w:val="en-GB"/>
        </w:rPr>
        <w:t xml:space="preserve"> Living wage definition (ILO): A living wage is the wage level that is necessary to afford a decent standard of living for</w:t>
      </w:r>
      <w:r>
        <w:rPr>
          <w:rFonts w:ascii="Verdana" w:hAnsi="Verdana"/>
          <w:sz w:val="16"/>
          <w:szCs w:val="16"/>
          <w:lang w:val="en-GB"/>
        </w:rPr>
        <w:t xml:space="preserve"> workers and their families, taking into account the country circumstances and calculated for the work performed during the normal hours of work (link: Report of the Meeting of Experts on wage policies, including living wages (Geneva, 19-23 February 2024))</w:t>
      </w:r>
    </w:p>
  </w:footnote>
  <w:footnote w:id="15">
    <w:p w14:paraId="355CC40C" w14:textId="77777777" w:rsidR="00BF12FA" w:rsidRPr="005A6EF3" w:rsidRDefault="00BF12FA" w:rsidP="00BF12FA">
      <w:pPr>
        <w:pStyle w:val="Voetnoottekst"/>
        <w:rPr>
          <w:rFonts w:ascii="Verdana" w:hAnsi="Verdana"/>
          <w:sz w:val="16"/>
          <w:szCs w:val="16"/>
          <w:lang w:val="en-US"/>
        </w:rPr>
      </w:pPr>
      <w:r>
        <w:rPr>
          <w:rStyle w:val="Voetnootmarkering"/>
          <w:rFonts w:ascii="Verdana" w:hAnsi="Verdana"/>
          <w:sz w:val="16"/>
          <w:szCs w:val="16"/>
          <w:lang w:val="en-GB"/>
        </w:rPr>
        <w:footnoteRef/>
      </w:r>
      <w:r>
        <w:rPr>
          <w:rFonts w:ascii="Verdana" w:hAnsi="Verdana"/>
          <w:sz w:val="16"/>
          <w:szCs w:val="16"/>
          <w:lang w:val="en-GB"/>
        </w:rPr>
        <w:t xml:space="preserve"> https://www.idhsustainabletrade.com/living-wage-platform/</w:t>
      </w:r>
    </w:p>
  </w:footnote>
  <w:footnote w:id="16">
    <w:p w14:paraId="3475C7A9" w14:textId="0A1FD31F" w:rsidR="00301876" w:rsidRPr="003C297D" w:rsidRDefault="00301876">
      <w:pPr>
        <w:pStyle w:val="Voetnoottekst"/>
        <w:rPr>
          <w:lang w:val="en-US"/>
        </w:rPr>
      </w:pPr>
      <w:r>
        <w:rPr>
          <w:rStyle w:val="Voetnootmarkering"/>
        </w:rPr>
        <w:footnoteRef/>
      </w:r>
      <w:r w:rsidRPr="003C297D">
        <w:rPr>
          <w:lang w:val="en-US"/>
        </w:rPr>
        <w:t xml:space="preserve"> </w:t>
      </w:r>
      <w:r>
        <w:rPr>
          <w:rFonts w:ascii="Verdana" w:hAnsi="Verdana"/>
          <w:sz w:val="16"/>
          <w:szCs w:val="16"/>
          <w:lang w:val="en-GB"/>
        </w:rPr>
        <w:t>https://english.rvo.nl/subsidies-financing/fair-focus-on-trade</w:t>
      </w:r>
    </w:p>
  </w:footnote>
  <w:footnote w:id="17">
    <w:p w14:paraId="18A614C2" w14:textId="016DEFB8" w:rsidR="00CA403F" w:rsidRPr="003C297D" w:rsidRDefault="00CA403F">
      <w:pPr>
        <w:pStyle w:val="Voetnoottekst"/>
        <w:rPr>
          <w:rFonts w:ascii="Verdana" w:hAnsi="Verdana"/>
          <w:sz w:val="16"/>
          <w:szCs w:val="16"/>
          <w:lang w:val="en-US"/>
        </w:rPr>
      </w:pPr>
      <w:r w:rsidRPr="003C297D">
        <w:rPr>
          <w:rStyle w:val="Voetnootmarkering"/>
          <w:rFonts w:ascii="Verdana" w:hAnsi="Verdana"/>
          <w:sz w:val="16"/>
          <w:szCs w:val="16"/>
        </w:rPr>
        <w:footnoteRef/>
      </w:r>
      <w:r w:rsidRPr="003C297D">
        <w:rPr>
          <w:rFonts w:ascii="Verdana" w:hAnsi="Verdana"/>
          <w:sz w:val="16"/>
          <w:szCs w:val="16"/>
          <w:lang w:val="en-US"/>
        </w:rPr>
        <w:t xml:space="preserve"> Within a geographical region means target countries that are either </w:t>
      </w:r>
      <w:r w:rsidR="000616F2" w:rsidRPr="003C297D">
        <w:rPr>
          <w:rFonts w:ascii="Verdana" w:hAnsi="Verdana"/>
          <w:sz w:val="16"/>
          <w:szCs w:val="16"/>
          <w:lang w:val="en-US"/>
        </w:rPr>
        <w:t>neighboring</w:t>
      </w:r>
      <w:r w:rsidRPr="003C297D">
        <w:rPr>
          <w:rFonts w:ascii="Verdana" w:hAnsi="Verdana"/>
          <w:sz w:val="16"/>
          <w:szCs w:val="16"/>
          <w:lang w:val="en-US"/>
        </w:rPr>
        <w:t xml:space="preserve"> each other or located within the same region based on the United Nations </w:t>
      </w:r>
      <w:proofErr w:type="spellStart"/>
      <w:r w:rsidRPr="003C297D">
        <w:rPr>
          <w:rFonts w:ascii="Verdana" w:hAnsi="Verdana"/>
          <w:sz w:val="16"/>
          <w:szCs w:val="16"/>
          <w:lang w:val="en-US"/>
        </w:rPr>
        <w:t>Geoscheme</w:t>
      </w:r>
      <w:proofErr w:type="spellEnd"/>
      <w:r w:rsidRPr="003C297D">
        <w:rPr>
          <w:rFonts w:ascii="Verdana" w:hAnsi="Verdana"/>
          <w:sz w:val="16"/>
          <w:szCs w:val="16"/>
          <w:lang w:val="en-US"/>
        </w:rPr>
        <w:t>. For example, countries in East Africa such as Uganda, Kenya and Ethiopia.</w:t>
      </w:r>
    </w:p>
  </w:footnote>
  <w:footnote w:id="18">
    <w:p w14:paraId="1A29BEEB" w14:textId="77777777" w:rsidR="00D52211" w:rsidRPr="005A6EF3" w:rsidRDefault="00D52211" w:rsidP="00D52211">
      <w:pPr>
        <w:pStyle w:val="Voetnoottekst"/>
        <w:rPr>
          <w:rFonts w:ascii="Verdana" w:hAnsi="Verdana"/>
          <w:sz w:val="16"/>
          <w:szCs w:val="16"/>
          <w:lang w:val="en-US"/>
        </w:rPr>
      </w:pPr>
      <w:r>
        <w:rPr>
          <w:rStyle w:val="Voetnootmarkering"/>
          <w:rFonts w:ascii="Verdana" w:hAnsi="Verdana"/>
          <w:sz w:val="16"/>
          <w:szCs w:val="16"/>
          <w:lang w:val="en-GB"/>
        </w:rPr>
        <w:footnoteRef/>
      </w:r>
      <w:r>
        <w:rPr>
          <w:rFonts w:ascii="Verdana" w:hAnsi="Verdana"/>
          <w:sz w:val="16"/>
          <w:szCs w:val="16"/>
          <w:lang w:val="en-GB"/>
        </w:rPr>
        <w:t xml:space="preserve"> See Article 14 of the Ministry of Foreign Affairs Grants Decree.</w:t>
      </w:r>
    </w:p>
  </w:footnote>
  <w:footnote w:id="19">
    <w:p w14:paraId="546ABD74" w14:textId="0B8C1FDB" w:rsidR="00053700" w:rsidRPr="005A6EF3" w:rsidRDefault="00053700">
      <w:pPr>
        <w:pStyle w:val="Voetnoottekst"/>
        <w:rPr>
          <w:rFonts w:ascii="Verdana" w:hAnsi="Verdana"/>
          <w:sz w:val="16"/>
          <w:szCs w:val="16"/>
          <w:lang w:val="en-US"/>
        </w:rPr>
      </w:pPr>
      <w:r>
        <w:rPr>
          <w:rStyle w:val="Voetnootmarkering"/>
          <w:rFonts w:ascii="Verdana" w:hAnsi="Verdana"/>
          <w:sz w:val="16"/>
          <w:szCs w:val="16"/>
          <w:lang w:val="en-GB"/>
        </w:rPr>
        <w:footnoteRef/>
      </w:r>
      <w:r>
        <w:rPr>
          <w:rFonts w:ascii="Verdana" w:hAnsi="Verdana"/>
          <w:sz w:val="16"/>
          <w:szCs w:val="16"/>
          <w:lang w:val="en-GB"/>
        </w:rPr>
        <w:t>Budgeted costs for commercial experts must be in line with the Pater-Van der Meer Parliamentary Motion, which stipulates a maximum hourly rate of EUR 250 excluding VAT and a maximum day rate of EUR 1,800 for external experts in the Netherlands. Dutch embassies in the target countries shall assess the reasonableness of costs incurred for expertise procured in the target countries.</w:t>
      </w:r>
    </w:p>
  </w:footnote>
  <w:footnote w:id="20">
    <w:p w14:paraId="3B0AD4E2" w14:textId="77777777" w:rsidR="009E1C2B" w:rsidRPr="003C297D" w:rsidRDefault="009E1C2B" w:rsidP="009E1C2B">
      <w:pPr>
        <w:pStyle w:val="Voetnoottekst"/>
        <w:rPr>
          <w:rFonts w:ascii="Verdana" w:hAnsi="Verdana"/>
          <w:sz w:val="16"/>
          <w:szCs w:val="16"/>
          <w:lang w:val="en-US"/>
        </w:rPr>
      </w:pPr>
      <w:r w:rsidRPr="003C297D">
        <w:rPr>
          <w:rStyle w:val="Voetnootmarkering"/>
          <w:rFonts w:ascii="Verdana" w:hAnsi="Verdana"/>
          <w:sz w:val="16"/>
          <w:szCs w:val="16"/>
          <w:lang w:val="en-GB"/>
        </w:rPr>
        <w:footnoteRef/>
      </w:r>
      <w:r w:rsidRPr="003C297D">
        <w:rPr>
          <w:rFonts w:ascii="Verdana" w:hAnsi="Verdana"/>
          <w:sz w:val="16"/>
          <w:szCs w:val="16"/>
          <w:lang w:val="en-GB"/>
        </w:rPr>
        <w:t xml:space="preserve"> </w:t>
      </w:r>
      <w:r w:rsidRPr="009E1C2B">
        <w:rPr>
          <w:rFonts w:ascii="Verdana" w:hAnsi="Verdana"/>
          <w:sz w:val="16"/>
          <w:szCs w:val="16"/>
          <w:lang w:val="en-GB"/>
        </w:rPr>
        <w:t>https://english.rvo.nl/subsidies-financing/fair-focus-on-trade</w:t>
      </w:r>
    </w:p>
  </w:footnote>
  <w:footnote w:id="21">
    <w:p w14:paraId="06AF04B7" w14:textId="50749285" w:rsidR="009E1C2B" w:rsidRPr="003C297D" w:rsidRDefault="009E1C2B">
      <w:pPr>
        <w:pStyle w:val="Voetnoottekst"/>
        <w:rPr>
          <w:lang w:val="en-US"/>
        </w:rPr>
      </w:pPr>
      <w:r w:rsidRPr="003C297D">
        <w:rPr>
          <w:rStyle w:val="Voetnootmarkering"/>
          <w:rFonts w:ascii="Verdana" w:hAnsi="Verdana"/>
          <w:sz w:val="16"/>
          <w:szCs w:val="16"/>
        </w:rPr>
        <w:footnoteRef/>
      </w:r>
      <w:r w:rsidRPr="003C297D">
        <w:rPr>
          <w:rFonts w:ascii="Verdana" w:hAnsi="Verdana"/>
          <w:sz w:val="16"/>
          <w:szCs w:val="16"/>
          <w:lang w:val="en-US"/>
        </w:rPr>
        <w:t xml:space="preserve"> The following documents that are already available may also be submitted in Dutch: the articles of association, integrity policy, and the annual financial statements audited by an external, independent auditor.</w:t>
      </w:r>
    </w:p>
  </w:footnote>
  <w:footnote w:id="22">
    <w:p w14:paraId="2319CB4B" w14:textId="345A626E" w:rsidR="002D5A84" w:rsidRPr="003C297D" w:rsidRDefault="002D5A84">
      <w:pPr>
        <w:pStyle w:val="Voetnoottekst"/>
        <w:rPr>
          <w:lang w:val="en-US"/>
        </w:rPr>
      </w:pPr>
      <w:r>
        <w:rPr>
          <w:rStyle w:val="Voetnootmarkering"/>
        </w:rPr>
        <w:footnoteRef/>
      </w:r>
      <w:r w:rsidRPr="003C297D">
        <w:rPr>
          <w:lang w:val="en-US"/>
        </w:rPr>
        <w:t xml:space="preserve"> https://english.rvo.nl/subsidies-financing/fair-focus-on-trade</w:t>
      </w:r>
    </w:p>
  </w:footnote>
  <w:footnote w:id="23">
    <w:p w14:paraId="381DF254" w14:textId="77777777" w:rsidR="00D52211" w:rsidRPr="005A6EF3" w:rsidRDefault="00D52211" w:rsidP="00D52211">
      <w:pPr>
        <w:pStyle w:val="Voetnoottekst"/>
        <w:rPr>
          <w:rFonts w:ascii="Verdana" w:hAnsi="Verdana"/>
          <w:sz w:val="16"/>
          <w:szCs w:val="16"/>
          <w:lang w:val="en-US"/>
        </w:rPr>
      </w:pPr>
      <w:r>
        <w:rPr>
          <w:rStyle w:val="Voetnootmarkering"/>
          <w:rFonts w:ascii="Verdana" w:hAnsi="Verdana"/>
          <w:sz w:val="16"/>
          <w:szCs w:val="16"/>
          <w:lang w:val="en-GB"/>
        </w:rPr>
        <w:footnoteRef/>
      </w:r>
      <w:r>
        <w:rPr>
          <w:rFonts w:ascii="Verdana" w:hAnsi="Verdana"/>
          <w:sz w:val="16"/>
          <w:szCs w:val="16"/>
          <w:lang w:val="en-GB"/>
        </w:rPr>
        <w:t xml:space="preserve"> https://www.oesorichtlijnen.nl/</w:t>
      </w:r>
    </w:p>
  </w:footnote>
  <w:footnote w:id="24">
    <w:p w14:paraId="6FE66332" w14:textId="77777777" w:rsidR="00D52211" w:rsidRPr="005A6EF3" w:rsidRDefault="00D52211" w:rsidP="00D52211">
      <w:pPr>
        <w:pStyle w:val="Voetnoottekst"/>
        <w:rPr>
          <w:rFonts w:ascii="Verdana" w:hAnsi="Verdana"/>
          <w:sz w:val="16"/>
          <w:szCs w:val="16"/>
          <w:lang w:val="en-US"/>
        </w:rPr>
      </w:pPr>
      <w:r>
        <w:rPr>
          <w:rStyle w:val="Voetnootmarkering"/>
          <w:rFonts w:ascii="Verdana" w:hAnsi="Verdana"/>
          <w:sz w:val="16"/>
          <w:szCs w:val="16"/>
          <w:lang w:val="en-GB"/>
        </w:rPr>
        <w:footnoteRef/>
      </w:r>
      <w:r>
        <w:rPr>
          <w:rFonts w:ascii="Verdana" w:hAnsi="Verdana"/>
          <w:sz w:val="16"/>
          <w:szCs w:val="16"/>
          <w:lang w:val="en-GB"/>
        </w:rPr>
        <w:t xml:space="preserve"> https://www.fmo.nl/policies-and-position-statements</w:t>
      </w:r>
    </w:p>
  </w:footnote>
  <w:footnote w:id="25">
    <w:p w14:paraId="61477764" w14:textId="1BCB8812" w:rsidR="00A816CB" w:rsidRPr="005A6EF3" w:rsidRDefault="00A816CB" w:rsidP="009269B7">
      <w:pPr>
        <w:spacing w:after="0" w:line="240" w:lineRule="auto"/>
        <w:rPr>
          <w:rFonts w:ascii="Verdana" w:hAnsi="Verdana"/>
          <w:sz w:val="16"/>
          <w:szCs w:val="16"/>
          <w:lang w:val="en-US"/>
        </w:rPr>
      </w:pPr>
      <w:r>
        <w:rPr>
          <w:rStyle w:val="Voetnootmarkering"/>
          <w:rFonts w:ascii="Verdana" w:hAnsi="Verdana"/>
          <w:sz w:val="16"/>
          <w:szCs w:val="16"/>
          <w:lang w:val="en-GB"/>
        </w:rPr>
        <w:footnoteRef/>
      </w:r>
      <w:r>
        <w:rPr>
          <w:rFonts w:ascii="Verdana" w:hAnsi="Verdana"/>
          <w:sz w:val="16"/>
          <w:szCs w:val="16"/>
          <w:lang w:val="en-GB"/>
        </w:rPr>
        <w:t xml:space="preserve"> Any form of labour which the International Labour Organisation seeks to prevent through the Convention concerning the Forced or Compulsory Labour, 1930 (C29), the Convention concerning the Abolition of Forced Labour, 1957 (C 105), or the Minimum Age Convention, 1973.</w:t>
      </w:r>
    </w:p>
  </w:footnote>
  <w:footnote w:id="26">
    <w:p w14:paraId="3ED9294E" w14:textId="77777777" w:rsidR="00884D79" w:rsidRPr="005A6EF3" w:rsidRDefault="00884D79" w:rsidP="009269B7">
      <w:pPr>
        <w:pStyle w:val="Voetnoottekst"/>
        <w:rPr>
          <w:rFonts w:ascii="Verdana" w:hAnsi="Verdana"/>
          <w:sz w:val="16"/>
          <w:szCs w:val="16"/>
          <w:lang w:val="en-US"/>
        </w:rPr>
      </w:pPr>
      <w:r>
        <w:rPr>
          <w:rStyle w:val="Voetnootmarkering"/>
          <w:rFonts w:ascii="Verdana" w:hAnsi="Verdana"/>
          <w:sz w:val="16"/>
          <w:szCs w:val="16"/>
          <w:lang w:val="en-GB"/>
        </w:rPr>
        <w:footnoteRef/>
      </w:r>
      <w:r>
        <w:rPr>
          <w:rFonts w:ascii="Verdana" w:hAnsi="Verdana"/>
          <w:sz w:val="16"/>
          <w:szCs w:val="16"/>
          <w:lang w:val="en-GB"/>
        </w:rPr>
        <w:t xml:space="preserve"> https://projects.rvo.nl/iati-portals/.</w:t>
      </w:r>
    </w:p>
  </w:footnote>
  <w:footnote w:id="27">
    <w:p w14:paraId="0E5FD3E8" w14:textId="77777777" w:rsidR="000F170C" w:rsidRPr="000F170C" w:rsidRDefault="000F170C" w:rsidP="000F170C">
      <w:pPr>
        <w:pStyle w:val="Voetnoottekst"/>
        <w:rPr>
          <w:lang w:val="en-US"/>
        </w:rPr>
      </w:pPr>
      <w:r>
        <w:rPr>
          <w:rStyle w:val="Voetnootmarkering"/>
        </w:rPr>
        <w:footnoteRef/>
      </w:r>
      <w:r w:rsidRPr="000F170C">
        <w:rPr>
          <w:lang w:val="en-US"/>
        </w:rPr>
        <w:t xml:space="preserve"> </w:t>
      </w:r>
      <w:hyperlink r:id="rId1" w:history="1">
        <w:r w:rsidRPr="000F170C">
          <w:rPr>
            <w:rStyle w:val="Hyperlink"/>
            <w:lang w:val="en-US"/>
          </w:rPr>
          <w:t>https://policy.trade.ec.europa.eu/development-and-sustainability/conflict-minerals-regulation/regulation-explained_en</w:t>
        </w:r>
      </w:hyperlink>
    </w:p>
  </w:footnote>
  <w:footnote w:id="28">
    <w:p w14:paraId="0D5124C1" w14:textId="77777777" w:rsidR="000F170C" w:rsidRPr="000F170C" w:rsidRDefault="000F170C" w:rsidP="000F170C">
      <w:pPr>
        <w:pStyle w:val="Voetnoottekst"/>
        <w:rPr>
          <w:lang w:val="en-US"/>
        </w:rPr>
      </w:pPr>
      <w:r>
        <w:rPr>
          <w:rStyle w:val="Voetnootmarkering"/>
        </w:rPr>
        <w:footnoteRef/>
      </w:r>
      <w:r w:rsidRPr="000F170C">
        <w:rPr>
          <w:lang w:val="en-US"/>
        </w:rPr>
        <w:t xml:space="preserve"> </w:t>
      </w:r>
      <w:hyperlink r:id="rId2" w:history="1">
        <w:r w:rsidRPr="000F170C">
          <w:rPr>
            <w:rStyle w:val="Hyperlink"/>
            <w:lang w:val="en-US"/>
          </w:rPr>
          <w:t>https://data.consilium.europa.eu/doc/document/PE-2-2023-INIT/en/pdf</w:t>
        </w:r>
      </w:hyperlink>
    </w:p>
  </w:footnote>
  <w:footnote w:id="29">
    <w:p w14:paraId="7CFBBFCD" w14:textId="77777777" w:rsidR="000F170C" w:rsidRPr="000F170C" w:rsidRDefault="000F170C" w:rsidP="000F170C">
      <w:pPr>
        <w:pStyle w:val="Voetnoottekst"/>
        <w:rPr>
          <w:lang w:val="en-US"/>
        </w:rPr>
      </w:pPr>
      <w:r>
        <w:rPr>
          <w:rStyle w:val="Voetnootmarkering"/>
        </w:rPr>
        <w:footnoteRef/>
      </w:r>
      <w:r w:rsidRPr="000F170C">
        <w:rPr>
          <w:lang w:val="en-US"/>
        </w:rPr>
        <w:t xml:space="preserve"> </w:t>
      </w:r>
      <w:hyperlink r:id="rId3" w:anchor="fifth-list-2023-of-critical-raw-materials-for-the-eu" w:history="1">
        <w:r w:rsidRPr="000F170C">
          <w:rPr>
            <w:rStyle w:val="Hyperlink"/>
            <w:lang w:val="en-US"/>
          </w:rPr>
          <w:t>https://single-market-economy.ec.europa.eu/sectors/raw-materials/areas-specific-interest/critical-raw-materials_en#fifth-list-2023-of-critical-raw-materials-for-the-eu</w:t>
        </w:r>
      </w:hyperlink>
    </w:p>
  </w:footnote>
  <w:footnote w:id="30">
    <w:p w14:paraId="1E28D78D" w14:textId="77777777" w:rsidR="00636960" w:rsidRPr="005A6EF3" w:rsidRDefault="00636960" w:rsidP="00636960">
      <w:pPr>
        <w:pStyle w:val="Voetnoottekst"/>
        <w:rPr>
          <w:rFonts w:ascii="Verdana" w:hAnsi="Verdana"/>
          <w:sz w:val="16"/>
          <w:szCs w:val="16"/>
          <w:lang w:val="en-US"/>
        </w:rPr>
      </w:pPr>
      <w:r>
        <w:rPr>
          <w:rStyle w:val="Voetnootmarkering"/>
          <w:rFonts w:ascii="Verdana" w:hAnsi="Verdana"/>
          <w:sz w:val="16"/>
          <w:szCs w:val="16"/>
          <w:lang w:val="en-GB"/>
        </w:rPr>
        <w:footnoteRef/>
      </w:r>
      <w:r>
        <w:rPr>
          <w:rFonts w:ascii="Verdana" w:hAnsi="Verdana"/>
          <w:sz w:val="16"/>
          <w:szCs w:val="16"/>
          <w:lang w:val="en-GB"/>
        </w:rPr>
        <w:t xml:space="preserve"> Basic International Labour Organisation (ILO) standards include: decent wages; no child or forced labour; no workplace violence; no discrimination; and trade union freedom.</w:t>
      </w:r>
    </w:p>
  </w:footnote>
  <w:footnote w:id="31">
    <w:p w14:paraId="1FE1F120" w14:textId="77777777" w:rsidR="00636960" w:rsidRPr="005A6EF3" w:rsidRDefault="00636960" w:rsidP="00636960">
      <w:pPr>
        <w:pStyle w:val="Voetnoottekst"/>
        <w:rPr>
          <w:rFonts w:ascii="Verdana" w:hAnsi="Verdana"/>
          <w:sz w:val="16"/>
          <w:szCs w:val="16"/>
          <w:lang w:val="en-US"/>
        </w:rPr>
      </w:pPr>
      <w:r>
        <w:rPr>
          <w:rStyle w:val="Voetnootmarkering"/>
          <w:rFonts w:ascii="Verdana" w:hAnsi="Verdana"/>
          <w:sz w:val="16"/>
          <w:szCs w:val="16"/>
          <w:lang w:val="en-GB"/>
        </w:rPr>
        <w:footnoteRef/>
      </w:r>
      <w:r>
        <w:rPr>
          <w:rFonts w:ascii="Verdana" w:hAnsi="Verdana"/>
          <w:sz w:val="16"/>
          <w:szCs w:val="16"/>
          <w:lang w:val="en-GB"/>
        </w:rPr>
        <w:t xml:space="preserve"> Regulation (EU) 2020/852) Efforts may include protection and restoration of biodiversity and ecosystems; climate mitigation: countering climate change; climate adaptation: adapting to climate change; sustainable use and protection of water and marine resources; transition to a circular economy; pollution prevention and control. </w:t>
      </w:r>
    </w:p>
    <w:p w14:paraId="39EC153E" w14:textId="77777777" w:rsidR="00636960" w:rsidRPr="005A6EF3" w:rsidRDefault="00636960" w:rsidP="00636960">
      <w:pPr>
        <w:pStyle w:val="Voetnoottekst"/>
        <w:rPr>
          <w:rFonts w:ascii="Verdana" w:hAnsi="Verdana"/>
          <w:sz w:val="16"/>
          <w:szCs w:val="16"/>
          <w:lang w:val="en-US"/>
        </w:rPr>
      </w:pPr>
      <w:r>
        <w:rPr>
          <w:rFonts w:ascii="Verdana" w:hAnsi="Verdana"/>
          <w:sz w:val="16"/>
          <w:szCs w:val="16"/>
          <w:lang w:val="en-GB"/>
        </w:rPr>
        <w:t xml:space="preserve">Green measures should positively impact at least one of the six environmental goals and may not negatively impact the other five goals or the social themes.  </w:t>
      </w:r>
    </w:p>
  </w:footnote>
  <w:footnote w:id="32">
    <w:p w14:paraId="2C0DB5F3" w14:textId="0CC7F140" w:rsidR="00636960" w:rsidRPr="005A6EF3" w:rsidRDefault="00636960" w:rsidP="00636960">
      <w:pPr>
        <w:pStyle w:val="Voetnoottekst"/>
        <w:rPr>
          <w:lang w:val="en-US"/>
        </w:rPr>
      </w:pPr>
      <w:r>
        <w:rPr>
          <w:rStyle w:val="Voetnootmarkering"/>
          <w:rFonts w:ascii="Verdana" w:hAnsi="Verdana"/>
          <w:sz w:val="16"/>
          <w:szCs w:val="16"/>
          <w:lang w:val="en-GB"/>
        </w:rPr>
        <w:footnoteRef/>
      </w:r>
      <w:r>
        <w:rPr>
          <w:rFonts w:ascii="Verdana" w:hAnsi="Verdana"/>
          <w:sz w:val="16"/>
          <w:szCs w:val="16"/>
          <w:lang w:val="en-GB"/>
        </w:rPr>
        <w:t xml:space="preserve"> E.g. by preventing sustainability costs from being passed down the value chain through responsible procurement practices.</w:t>
      </w:r>
    </w:p>
  </w:footnote>
  <w:footnote w:id="33">
    <w:p w14:paraId="62335AD8" w14:textId="443227C1" w:rsidR="00B71A1A" w:rsidRPr="005A6EF3" w:rsidRDefault="00B71A1A">
      <w:pPr>
        <w:pStyle w:val="Voetnoottekst"/>
        <w:rPr>
          <w:lang w:val="en-US"/>
        </w:rPr>
      </w:pPr>
      <w:r>
        <w:rPr>
          <w:rStyle w:val="Voetnootmarkering"/>
          <w:lang w:val="en-GB"/>
        </w:rPr>
        <w:footnoteRef/>
      </w:r>
      <w:r>
        <w:rPr>
          <w:lang w:val="en-GB"/>
        </w:rPr>
        <w:t xml:space="preserve"> </w:t>
      </w:r>
      <w:r>
        <w:rPr>
          <w:rFonts w:ascii="Verdana" w:hAnsi="Verdana"/>
          <w:sz w:val="16"/>
          <w:szCs w:val="16"/>
          <w:lang w:val="en-GB"/>
        </w:rPr>
        <w:t>https://english.rvo.nl/subsidies-financing/fair-focus-on-trade</w:t>
      </w:r>
    </w:p>
  </w:footnote>
  <w:footnote w:id="34">
    <w:p w14:paraId="4A22A564" w14:textId="0A1505DB" w:rsidR="00B55215" w:rsidRPr="001457F4" w:rsidRDefault="00B55215">
      <w:pPr>
        <w:pStyle w:val="Voetnoottekst"/>
        <w:rPr>
          <w:rFonts w:ascii="Verdana" w:hAnsi="Verdana"/>
          <w:sz w:val="16"/>
          <w:szCs w:val="16"/>
        </w:rPr>
      </w:pPr>
      <w:r>
        <w:rPr>
          <w:rStyle w:val="Voetnootmarkering"/>
          <w:rFonts w:ascii="Verdana" w:hAnsi="Verdana"/>
          <w:sz w:val="16"/>
          <w:szCs w:val="16"/>
          <w:lang w:val="en-GB"/>
        </w:rPr>
        <w:footnoteRef/>
      </w:r>
      <w:r>
        <w:rPr>
          <w:rFonts w:ascii="Verdana" w:hAnsi="Verdana"/>
          <w:sz w:val="16"/>
          <w:szCs w:val="16"/>
          <w:lang w:val="en-GB"/>
        </w:rPr>
        <w:t xml:space="preserve"> Expenditure on salaried employees.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4CBC2" w14:textId="3EDB422F" w:rsidR="007E55DB" w:rsidRPr="005A6EF3" w:rsidRDefault="004A32D6" w:rsidP="009D7D85">
    <w:pPr>
      <w:pStyle w:val="Koptekst"/>
      <w:pBdr>
        <w:bottom w:val="single" w:sz="4" w:space="1" w:color="auto"/>
      </w:pBdr>
      <w:rPr>
        <w:sz w:val="16"/>
        <w:szCs w:val="16"/>
        <w:lang w:val="en-US"/>
      </w:rPr>
    </w:pPr>
    <w:r>
      <w:rPr>
        <w:sz w:val="16"/>
        <w:szCs w:val="16"/>
        <w:lang w:val="en-GB"/>
      </w:rPr>
      <w:t xml:space="preserve">Fair Focus on Trade 2026 Grant Programme </w:t>
    </w:r>
  </w:p>
  <w:p w14:paraId="72072F1F" w14:textId="77777777" w:rsidR="007E55DB" w:rsidRPr="005A6EF3" w:rsidRDefault="007E55DB" w:rsidP="009D7D85">
    <w:pPr>
      <w:pStyle w:val="Koptekst"/>
      <w:pBdr>
        <w:bottom w:val="single" w:sz="4" w:space="1" w:color="auto"/>
      </w:pBdr>
      <w:rPr>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BD9"/>
    <w:multiLevelType w:val="hybridMultilevel"/>
    <w:tmpl w:val="24E85540"/>
    <w:lvl w:ilvl="0" w:tplc="D8500490">
      <w:start w:val="1"/>
      <w:numFmt w:val="decimal"/>
      <w:lvlText w:val="%1)"/>
      <w:lvlJc w:val="left"/>
      <w:pPr>
        <w:ind w:left="720" w:hanging="360"/>
      </w:pPr>
    </w:lvl>
    <w:lvl w:ilvl="1" w:tplc="83E8F028">
      <w:start w:val="1"/>
      <w:numFmt w:val="decimal"/>
      <w:lvlText w:val="%2)"/>
      <w:lvlJc w:val="left"/>
      <w:pPr>
        <w:ind w:left="720" w:hanging="360"/>
      </w:pPr>
    </w:lvl>
    <w:lvl w:ilvl="2" w:tplc="B18A6E7C">
      <w:start w:val="1"/>
      <w:numFmt w:val="decimal"/>
      <w:lvlText w:val="%3)"/>
      <w:lvlJc w:val="left"/>
      <w:pPr>
        <w:ind w:left="720" w:hanging="360"/>
      </w:pPr>
    </w:lvl>
    <w:lvl w:ilvl="3" w:tplc="1A58EF50">
      <w:start w:val="1"/>
      <w:numFmt w:val="decimal"/>
      <w:lvlText w:val="%4)"/>
      <w:lvlJc w:val="left"/>
      <w:pPr>
        <w:ind w:left="720" w:hanging="360"/>
      </w:pPr>
    </w:lvl>
    <w:lvl w:ilvl="4" w:tplc="7B4233EA">
      <w:start w:val="1"/>
      <w:numFmt w:val="decimal"/>
      <w:lvlText w:val="%5)"/>
      <w:lvlJc w:val="left"/>
      <w:pPr>
        <w:ind w:left="720" w:hanging="360"/>
      </w:pPr>
    </w:lvl>
    <w:lvl w:ilvl="5" w:tplc="109A241A">
      <w:start w:val="1"/>
      <w:numFmt w:val="decimal"/>
      <w:lvlText w:val="%6)"/>
      <w:lvlJc w:val="left"/>
      <w:pPr>
        <w:ind w:left="720" w:hanging="360"/>
      </w:pPr>
    </w:lvl>
    <w:lvl w:ilvl="6" w:tplc="814836E0">
      <w:start w:val="1"/>
      <w:numFmt w:val="decimal"/>
      <w:lvlText w:val="%7)"/>
      <w:lvlJc w:val="left"/>
      <w:pPr>
        <w:ind w:left="720" w:hanging="360"/>
      </w:pPr>
    </w:lvl>
    <w:lvl w:ilvl="7" w:tplc="942E3890">
      <w:start w:val="1"/>
      <w:numFmt w:val="decimal"/>
      <w:lvlText w:val="%8)"/>
      <w:lvlJc w:val="left"/>
      <w:pPr>
        <w:ind w:left="720" w:hanging="360"/>
      </w:pPr>
    </w:lvl>
    <w:lvl w:ilvl="8" w:tplc="59903D2E">
      <w:start w:val="1"/>
      <w:numFmt w:val="decimal"/>
      <w:lvlText w:val="%9)"/>
      <w:lvlJc w:val="left"/>
      <w:pPr>
        <w:ind w:left="720" w:hanging="360"/>
      </w:pPr>
    </w:lvl>
  </w:abstractNum>
  <w:abstractNum w:abstractNumId="1" w15:restartNumberingAfterBreak="0">
    <w:nsid w:val="047401AB"/>
    <w:multiLevelType w:val="hybridMultilevel"/>
    <w:tmpl w:val="58F8B19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4FA24CF"/>
    <w:multiLevelType w:val="hybridMultilevel"/>
    <w:tmpl w:val="990AB53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6354071"/>
    <w:multiLevelType w:val="hybridMultilevel"/>
    <w:tmpl w:val="014E7C94"/>
    <w:lvl w:ilvl="0" w:tplc="730E807A">
      <w:start w:val="4"/>
      <w:numFmt w:val="bullet"/>
      <w:lvlText w:val="-"/>
      <w:lvlJc w:val="left"/>
      <w:pPr>
        <w:ind w:left="360" w:hanging="360"/>
      </w:pPr>
      <w:rPr>
        <w:rFonts w:ascii="Verdana" w:eastAsiaTheme="minorHAns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975A1A"/>
    <w:multiLevelType w:val="hybridMultilevel"/>
    <w:tmpl w:val="DEBA2A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C8D4190"/>
    <w:multiLevelType w:val="hybridMultilevel"/>
    <w:tmpl w:val="991EA2AE"/>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E33F7A"/>
    <w:multiLevelType w:val="hybridMultilevel"/>
    <w:tmpl w:val="F03CC0D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0C7B82"/>
    <w:multiLevelType w:val="multilevel"/>
    <w:tmpl w:val="A1F2730A"/>
    <w:lvl w:ilvl="0">
      <w:start w:val="8"/>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12987AD9"/>
    <w:multiLevelType w:val="hybridMultilevel"/>
    <w:tmpl w:val="5628C8EE"/>
    <w:lvl w:ilvl="0" w:tplc="C4743422">
      <w:start w:val="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461898"/>
    <w:multiLevelType w:val="hybridMultilevel"/>
    <w:tmpl w:val="0BB687D6"/>
    <w:lvl w:ilvl="0" w:tplc="FFFFFFFF">
      <w:start w:val="1"/>
      <w:numFmt w:val="bullet"/>
      <w:lvlText w:val="-"/>
      <w:lvlJc w:val="left"/>
      <w:pPr>
        <w:ind w:left="360" w:hanging="360"/>
      </w:pPr>
      <w:rPr>
        <w:rFonts w:ascii="Verdana" w:hAnsi="Verdana" w:hint="default"/>
        <w:b w:val="0"/>
        <w:bCs w:val="0"/>
        <w:i w:val="0"/>
        <w:iCs w:val="0"/>
        <w:color w:val="auto"/>
        <w:spacing w:val="0"/>
        <w:w w:val="100"/>
        <w:sz w:val="18"/>
        <w:szCs w:val="18"/>
        <w:lang w:val="nl-NL" w:eastAsia="en-US" w:bidi="ar-SA"/>
      </w:rPr>
    </w:lvl>
    <w:lvl w:ilvl="1" w:tplc="04130003">
      <w:start w:val="1"/>
      <w:numFmt w:val="bullet"/>
      <w:lvlText w:val="o"/>
      <w:lvlJc w:val="left"/>
      <w:pPr>
        <w:ind w:left="1080" w:hanging="360"/>
      </w:pPr>
      <w:rPr>
        <w:rFonts w:ascii="Courier New" w:hAnsi="Courier New" w:cs="Courier New" w:hint="default"/>
      </w:rPr>
    </w:lvl>
    <w:lvl w:ilvl="2" w:tplc="AB4CFD06">
      <w:numFmt w:val="bullet"/>
      <w:lvlText w:val="•"/>
      <w:lvlJc w:val="left"/>
      <w:pPr>
        <w:ind w:left="2145" w:hanging="705"/>
      </w:pPr>
      <w:rPr>
        <w:rFonts w:ascii="Verdana" w:eastAsiaTheme="minorHAnsi" w:hAnsi="Verdana" w:cstheme="minorBidi"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8E947F2"/>
    <w:multiLevelType w:val="hybridMultilevel"/>
    <w:tmpl w:val="B792E742"/>
    <w:lvl w:ilvl="0" w:tplc="0B283FF2">
      <w:start w:val="2"/>
      <w:numFmt w:val="lowerLetter"/>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C214218"/>
    <w:multiLevelType w:val="hybridMultilevel"/>
    <w:tmpl w:val="8B3CE494"/>
    <w:lvl w:ilvl="0" w:tplc="C4743422">
      <w:start w:val="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258375B"/>
    <w:multiLevelType w:val="hybridMultilevel"/>
    <w:tmpl w:val="9F40E8C8"/>
    <w:lvl w:ilvl="0" w:tplc="FFFFFFFF">
      <w:start w:val="4"/>
      <w:numFmt w:val="bullet"/>
      <w:lvlText w:val="-"/>
      <w:lvlJc w:val="left"/>
      <w:pPr>
        <w:ind w:left="360" w:hanging="360"/>
      </w:pPr>
      <w:rPr>
        <w:rFonts w:ascii="Verdana" w:hAnsi="Verdana"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39830C3"/>
    <w:multiLevelType w:val="multilevel"/>
    <w:tmpl w:val="CB481BF8"/>
    <w:lvl w:ilvl="0">
      <w:start w:val="7"/>
      <w:numFmt w:val="decimal"/>
      <w:lvlText w:val="%1"/>
      <w:lvlJc w:val="left"/>
      <w:pPr>
        <w:ind w:left="480" w:hanging="480"/>
      </w:pPr>
      <w:rPr>
        <w:rFonts w:hint="default"/>
        <w:color w:val="333333"/>
      </w:rPr>
    </w:lvl>
    <w:lvl w:ilvl="1">
      <w:start w:val="2"/>
      <w:numFmt w:val="decimal"/>
      <w:lvlText w:val="%1.%2"/>
      <w:lvlJc w:val="left"/>
      <w:pPr>
        <w:ind w:left="480" w:hanging="480"/>
      </w:pPr>
      <w:rPr>
        <w:rFonts w:hint="default"/>
        <w:color w:val="333333"/>
      </w:rPr>
    </w:lvl>
    <w:lvl w:ilvl="2">
      <w:start w:val="2"/>
      <w:numFmt w:val="decimal"/>
      <w:lvlText w:val="%1.%2.%3"/>
      <w:lvlJc w:val="left"/>
      <w:pPr>
        <w:ind w:left="1145" w:hanging="720"/>
      </w:pPr>
      <w:rPr>
        <w:rFonts w:hint="default"/>
        <w:color w:val="333333"/>
      </w:rPr>
    </w:lvl>
    <w:lvl w:ilvl="3">
      <w:start w:val="1"/>
      <w:numFmt w:val="decimal"/>
      <w:lvlText w:val="%1.%2.%3.%4"/>
      <w:lvlJc w:val="left"/>
      <w:pPr>
        <w:ind w:left="1080" w:hanging="1080"/>
      </w:pPr>
      <w:rPr>
        <w:rFonts w:hint="default"/>
        <w:color w:val="333333"/>
      </w:rPr>
    </w:lvl>
    <w:lvl w:ilvl="4">
      <w:start w:val="1"/>
      <w:numFmt w:val="decimal"/>
      <w:lvlText w:val="%1.%2.%3.%4.%5"/>
      <w:lvlJc w:val="left"/>
      <w:pPr>
        <w:ind w:left="1080" w:hanging="1080"/>
      </w:pPr>
      <w:rPr>
        <w:rFonts w:hint="default"/>
        <w:color w:val="333333"/>
      </w:rPr>
    </w:lvl>
    <w:lvl w:ilvl="5">
      <w:start w:val="1"/>
      <w:numFmt w:val="decimal"/>
      <w:lvlText w:val="%1.%2.%3.%4.%5.%6"/>
      <w:lvlJc w:val="left"/>
      <w:pPr>
        <w:ind w:left="1440" w:hanging="1440"/>
      </w:pPr>
      <w:rPr>
        <w:rFonts w:hint="default"/>
        <w:color w:val="333333"/>
      </w:rPr>
    </w:lvl>
    <w:lvl w:ilvl="6">
      <w:start w:val="1"/>
      <w:numFmt w:val="decimal"/>
      <w:lvlText w:val="%1.%2.%3.%4.%5.%6.%7"/>
      <w:lvlJc w:val="left"/>
      <w:pPr>
        <w:ind w:left="1440" w:hanging="1440"/>
      </w:pPr>
      <w:rPr>
        <w:rFonts w:hint="default"/>
        <w:color w:val="333333"/>
      </w:rPr>
    </w:lvl>
    <w:lvl w:ilvl="7">
      <w:start w:val="1"/>
      <w:numFmt w:val="decimal"/>
      <w:lvlText w:val="%1.%2.%3.%4.%5.%6.%7.%8"/>
      <w:lvlJc w:val="left"/>
      <w:pPr>
        <w:ind w:left="1800" w:hanging="1800"/>
      </w:pPr>
      <w:rPr>
        <w:rFonts w:hint="default"/>
        <w:color w:val="333333"/>
      </w:rPr>
    </w:lvl>
    <w:lvl w:ilvl="8">
      <w:start w:val="1"/>
      <w:numFmt w:val="decimal"/>
      <w:lvlText w:val="%1.%2.%3.%4.%5.%6.%7.%8.%9"/>
      <w:lvlJc w:val="left"/>
      <w:pPr>
        <w:ind w:left="2160" w:hanging="2160"/>
      </w:pPr>
      <w:rPr>
        <w:rFonts w:hint="default"/>
        <w:color w:val="333333"/>
      </w:rPr>
    </w:lvl>
  </w:abstractNum>
  <w:abstractNum w:abstractNumId="14" w15:restartNumberingAfterBreak="0">
    <w:nsid w:val="264132FE"/>
    <w:multiLevelType w:val="hybridMultilevel"/>
    <w:tmpl w:val="D5885142"/>
    <w:lvl w:ilvl="0" w:tplc="D40672C6">
      <w:start w:val="1"/>
      <w:numFmt w:val="decimal"/>
      <w:lvlText w:val="%1)"/>
      <w:lvlJc w:val="left"/>
      <w:pPr>
        <w:ind w:left="1140" w:hanging="360"/>
      </w:pPr>
    </w:lvl>
    <w:lvl w:ilvl="1" w:tplc="B9AC7D4A">
      <w:start w:val="1"/>
      <w:numFmt w:val="decimal"/>
      <w:lvlText w:val="%2)"/>
      <w:lvlJc w:val="left"/>
      <w:pPr>
        <w:ind w:left="1140" w:hanging="360"/>
      </w:pPr>
    </w:lvl>
    <w:lvl w:ilvl="2" w:tplc="05E4489C">
      <w:start w:val="1"/>
      <w:numFmt w:val="decimal"/>
      <w:lvlText w:val="%3)"/>
      <w:lvlJc w:val="left"/>
      <w:pPr>
        <w:ind w:left="1140" w:hanging="360"/>
      </w:pPr>
    </w:lvl>
    <w:lvl w:ilvl="3" w:tplc="14E4B70C">
      <w:start w:val="1"/>
      <w:numFmt w:val="decimal"/>
      <w:lvlText w:val="%4)"/>
      <w:lvlJc w:val="left"/>
      <w:pPr>
        <w:ind w:left="1140" w:hanging="360"/>
      </w:pPr>
    </w:lvl>
    <w:lvl w:ilvl="4" w:tplc="C26890F6">
      <w:start w:val="1"/>
      <w:numFmt w:val="decimal"/>
      <w:lvlText w:val="%5)"/>
      <w:lvlJc w:val="left"/>
      <w:pPr>
        <w:ind w:left="1140" w:hanging="360"/>
      </w:pPr>
    </w:lvl>
    <w:lvl w:ilvl="5" w:tplc="BAF01228">
      <w:start w:val="1"/>
      <w:numFmt w:val="decimal"/>
      <w:lvlText w:val="%6)"/>
      <w:lvlJc w:val="left"/>
      <w:pPr>
        <w:ind w:left="1140" w:hanging="360"/>
      </w:pPr>
    </w:lvl>
    <w:lvl w:ilvl="6" w:tplc="DBCA701A">
      <w:start w:val="1"/>
      <w:numFmt w:val="decimal"/>
      <w:lvlText w:val="%7)"/>
      <w:lvlJc w:val="left"/>
      <w:pPr>
        <w:ind w:left="1140" w:hanging="360"/>
      </w:pPr>
    </w:lvl>
    <w:lvl w:ilvl="7" w:tplc="F4C4A5D6">
      <w:start w:val="1"/>
      <w:numFmt w:val="decimal"/>
      <w:lvlText w:val="%8)"/>
      <w:lvlJc w:val="left"/>
      <w:pPr>
        <w:ind w:left="1140" w:hanging="360"/>
      </w:pPr>
    </w:lvl>
    <w:lvl w:ilvl="8" w:tplc="8AEE580C">
      <w:start w:val="1"/>
      <w:numFmt w:val="decimal"/>
      <w:lvlText w:val="%9)"/>
      <w:lvlJc w:val="left"/>
      <w:pPr>
        <w:ind w:left="1140" w:hanging="360"/>
      </w:pPr>
    </w:lvl>
  </w:abstractNum>
  <w:abstractNum w:abstractNumId="15" w15:restartNumberingAfterBreak="0">
    <w:nsid w:val="27437FE5"/>
    <w:multiLevelType w:val="hybridMultilevel"/>
    <w:tmpl w:val="13AC037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ADE4C7E"/>
    <w:multiLevelType w:val="hybridMultilevel"/>
    <w:tmpl w:val="94B2F2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12F2038"/>
    <w:multiLevelType w:val="hybridMultilevel"/>
    <w:tmpl w:val="871A5448"/>
    <w:lvl w:ilvl="0" w:tplc="C9043B50">
      <w:start w:val="1"/>
      <w:numFmt w:val="bullet"/>
      <w:lvlText w:val=""/>
      <w:lvlJc w:val="left"/>
      <w:pPr>
        <w:ind w:left="1020" w:hanging="360"/>
      </w:pPr>
      <w:rPr>
        <w:rFonts w:ascii="Symbol" w:hAnsi="Symbol"/>
      </w:rPr>
    </w:lvl>
    <w:lvl w:ilvl="1" w:tplc="D73487A4">
      <w:start w:val="1"/>
      <w:numFmt w:val="bullet"/>
      <w:lvlText w:val=""/>
      <w:lvlJc w:val="left"/>
      <w:pPr>
        <w:ind w:left="1020" w:hanging="360"/>
      </w:pPr>
      <w:rPr>
        <w:rFonts w:ascii="Symbol" w:hAnsi="Symbol"/>
      </w:rPr>
    </w:lvl>
    <w:lvl w:ilvl="2" w:tplc="24009DAA">
      <w:start w:val="1"/>
      <w:numFmt w:val="bullet"/>
      <w:lvlText w:val=""/>
      <w:lvlJc w:val="left"/>
      <w:pPr>
        <w:ind w:left="1020" w:hanging="360"/>
      </w:pPr>
      <w:rPr>
        <w:rFonts w:ascii="Symbol" w:hAnsi="Symbol"/>
      </w:rPr>
    </w:lvl>
    <w:lvl w:ilvl="3" w:tplc="01F0B828">
      <w:start w:val="1"/>
      <w:numFmt w:val="bullet"/>
      <w:lvlText w:val=""/>
      <w:lvlJc w:val="left"/>
      <w:pPr>
        <w:ind w:left="1020" w:hanging="360"/>
      </w:pPr>
      <w:rPr>
        <w:rFonts w:ascii="Symbol" w:hAnsi="Symbol"/>
      </w:rPr>
    </w:lvl>
    <w:lvl w:ilvl="4" w:tplc="88F81E4C">
      <w:start w:val="1"/>
      <w:numFmt w:val="bullet"/>
      <w:lvlText w:val=""/>
      <w:lvlJc w:val="left"/>
      <w:pPr>
        <w:ind w:left="1020" w:hanging="360"/>
      </w:pPr>
      <w:rPr>
        <w:rFonts w:ascii="Symbol" w:hAnsi="Symbol"/>
      </w:rPr>
    </w:lvl>
    <w:lvl w:ilvl="5" w:tplc="934A1230">
      <w:start w:val="1"/>
      <w:numFmt w:val="bullet"/>
      <w:lvlText w:val=""/>
      <w:lvlJc w:val="left"/>
      <w:pPr>
        <w:ind w:left="1020" w:hanging="360"/>
      </w:pPr>
      <w:rPr>
        <w:rFonts w:ascii="Symbol" w:hAnsi="Symbol"/>
      </w:rPr>
    </w:lvl>
    <w:lvl w:ilvl="6" w:tplc="40207E98">
      <w:start w:val="1"/>
      <w:numFmt w:val="bullet"/>
      <w:lvlText w:val=""/>
      <w:lvlJc w:val="left"/>
      <w:pPr>
        <w:ind w:left="1020" w:hanging="360"/>
      </w:pPr>
      <w:rPr>
        <w:rFonts w:ascii="Symbol" w:hAnsi="Symbol"/>
      </w:rPr>
    </w:lvl>
    <w:lvl w:ilvl="7" w:tplc="164EF8E2">
      <w:start w:val="1"/>
      <w:numFmt w:val="bullet"/>
      <w:lvlText w:val=""/>
      <w:lvlJc w:val="left"/>
      <w:pPr>
        <w:ind w:left="1020" w:hanging="360"/>
      </w:pPr>
      <w:rPr>
        <w:rFonts w:ascii="Symbol" w:hAnsi="Symbol"/>
      </w:rPr>
    </w:lvl>
    <w:lvl w:ilvl="8" w:tplc="7958CA20">
      <w:start w:val="1"/>
      <w:numFmt w:val="bullet"/>
      <w:lvlText w:val=""/>
      <w:lvlJc w:val="left"/>
      <w:pPr>
        <w:ind w:left="1020" w:hanging="360"/>
      </w:pPr>
      <w:rPr>
        <w:rFonts w:ascii="Symbol" w:hAnsi="Symbol"/>
      </w:rPr>
    </w:lvl>
  </w:abstractNum>
  <w:abstractNum w:abstractNumId="18" w15:restartNumberingAfterBreak="0">
    <w:nsid w:val="36C8545A"/>
    <w:multiLevelType w:val="multilevel"/>
    <w:tmpl w:val="F146CFC6"/>
    <w:lvl w:ilvl="0">
      <w:start w:val="1"/>
      <w:numFmt w:val="decimal"/>
      <w:lvlText w:val="%1."/>
      <w:lvlJc w:val="left"/>
      <w:pPr>
        <w:ind w:left="360" w:hanging="360"/>
      </w:pPr>
      <w:rPr>
        <w:rFonts w:ascii="Verdana" w:hAnsi="Verdana" w:hint="default"/>
        <w:b w:val="0"/>
        <w:bCs/>
      </w:rPr>
    </w:lvl>
    <w:lvl w:ilvl="1">
      <w:start w:val="5"/>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37B13169"/>
    <w:multiLevelType w:val="hybridMultilevel"/>
    <w:tmpl w:val="8C0C47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89206AA"/>
    <w:multiLevelType w:val="hybridMultilevel"/>
    <w:tmpl w:val="A5B8279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D0A6AEE"/>
    <w:multiLevelType w:val="hybridMultilevel"/>
    <w:tmpl w:val="16B45C58"/>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1A058F8"/>
    <w:multiLevelType w:val="hybridMultilevel"/>
    <w:tmpl w:val="1B2A7C90"/>
    <w:lvl w:ilvl="0" w:tplc="04130017">
      <w:start w:val="1"/>
      <w:numFmt w:val="lowerLetter"/>
      <w:lvlText w:val="%1)"/>
      <w:lvlJc w:val="left"/>
      <w:pPr>
        <w:ind w:left="360" w:hanging="360"/>
      </w:pPr>
      <w:rPr>
        <w:rFonts w:hint="default"/>
        <w:u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51D2712"/>
    <w:multiLevelType w:val="hybridMultilevel"/>
    <w:tmpl w:val="A96E4AC0"/>
    <w:lvl w:ilvl="0" w:tplc="04130019">
      <w:start w:val="1"/>
      <w:numFmt w:val="lowerLetter"/>
      <w:lvlText w:val="%1."/>
      <w:lvlJc w:val="left"/>
      <w:pPr>
        <w:ind w:left="360" w:hanging="360"/>
      </w:pPr>
    </w:lvl>
    <w:lvl w:ilvl="1" w:tplc="07DCDE0E">
      <w:start w:val="2"/>
      <w:numFmt w:val="bullet"/>
      <w:lvlText w:val="•"/>
      <w:lvlJc w:val="left"/>
      <w:pPr>
        <w:ind w:left="1080" w:hanging="360"/>
      </w:pPr>
      <w:rPr>
        <w:rFonts w:ascii="Verdana" w:eastAsia="Verdana" w:hAnsi="Verdana" w:cs="Verdana"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5CD104B"/>
    <w:multiLevelType w:val="hybridMultilevel"/>
    <w:tmpl w:val="11C4020A"/>
    <w:lvl w:ilvl="0" w:tplc="04130019">
      <w:start w:val="1"/>
      <w:numFmt w:val="lowerLetter"/>
      <w:lvlText w:val="%1."/>
      <w:lvlJc w:val="left"/>
      <w:pPr>
        <w:ind w:left="360" w:hanging="360"/>
      </w:pPr>
      <w:rPr>
        <w:rFonts w:hint="default"/>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7FB31BA"/>
    <w:multiLevelType w:val="hybridMultilevel"/>
    <w:tmpl w:val="CCF4338C"/>
    <w:lvl w:ilvl="0" w:tplc="FD9E3BD6">
      <w:start w:val="1"/>
      <w:numFmt w:val="bullet"/>
      <w:lvlText w:val=""/>
      <w:lvlJc w:val="left"/>
      <w:pPr>
        <w:ind w:left="1020" w:hanging="360"/>
      </w:pPr>
      <w:rPr>
        <w:rFonts w:ascii="Symbol" w:hAnsi="Symbol"/>
      </w:rPr>
    </w:lvl>
    <w:lvl w:ilvl="1" w:tplc="E77ADB58">
      <w:start w:val="1"/>
      <w:numFmt w:val="bullet"/>
      <w:lvlText w:val=""/>
      <w:lvlJc w:val="left"/>
      <w:pPr>
        <w:ind w:left="1020" w:hanging="360"/>
      </w:pPr>
      <w:rPr>
        <w:rFonts w:ascii="Symbol" w:hAnsi="Symbol"/>
      </w:rPr>
    </w:lvl>
    <w:lvl w:ilvl="2" w:tplc="79BA4752">
      <w:start w:val="1"/>
      <w:numFmt w:val="bullet"/>
      <w:lvlText w:val=""/>
      <w:lvlJc w:val="left"/>
      <w:pPr>
        <w:ind w:left="1020" w:hanging="360"/>
      </w:pPr>
      <w:rPr>
        <w:rFonts w:ascii="Symbol" w:hAnsi="Symbol"/>
      </w:rPr>
    </w:lvl>
    <w:lvl w:ilvl="3" w:tplc="659C9CEE">
      <w:start w:val="1"/>
      <w:numFmt w:val="bullet"/>
      <w:lvlText w:val=""/>
      <w:lvlJc w:val="left"/>
      <w:pPr>
        <w:ind w:left="1020" w:hanging="360"/>
      </w:pPr>
      <w:rPr>
        <w:rFonts w:ascii="Symbol" w:hAnsi="Symbol"/>
      </w:rPr>
    </w:lvl>
    <w:lvl w:ilvl="4" w:tplc="F95A9FFA">
      <w:start w:val="1"/>
      <w:numFmt w:val="bullet"/>
      <w:lvlText w:val=""/>
      <w:lvlJc w:val="left"/>
      <w:pPr>
        <w:ind w:left="1020" w:hanging="360"/>
      </w:pPr>
      <w:rPr>
        <w:rFonts w:ascii="Symbol" w:hAnsi="Symbol"/>
      </w:rPr>
    </w:lvl>
    <w:lvl w:ilvl="5" w:tplc="AD422C6A">
      <w:start w:val="1"/>
      <w:numFmt w:val="bullet"/>
      <w:lvlText w:val=""/>
      <w:lvlJc w:val="left"/>
      <w:pPr>
        <w:ind w:left="1020" w:hanging="360"/>
      </w:pPr>
      <w:rPr>
        <w:rFonts w:ascii="Symbol" w:hAnsi="Symbol"/>
      </w:rPr>
    </w:lvl>
    <w:lvl w:ilvl="6" w:tplc="3D8E0598">
      <w:start w:val="1"/>
      <w:numFmt w:val="bullet"/>
      <w:lvlText w:val=""/>
      <w:lvlJc w:val="left"/>
      <w:pPr>
        <w:ind w:left="1020" w:hanging="360"/>
      </w:pPr>
      <w:rPr>
        <w:rFonts w:ascii="Symbol" w:hAnsi="Symbol"/>
      </w:rPr>
    </w:lvl>
    <w:lvl w:ilvl="7" w:tplc="E44A7590">
      <w:start w:val="1"/>
      <w:numFmt w:val="bullet"/>
      <w:lvlText w:val=""/>
      <w:lvlJc w:val="left"/>
      <w:pPr>
        <w:ind w:left="1020" w:hanging="360"/>
      </w:pPr>
      <w:rPr>
        <w:rFonts w:ascii="Symbol" w:hAnsi="Symbol"/>
      </w:rPr>
    </w:lvl>
    <w:lvl w:ilvl="8" w:tplc="81FC2174">
      <w:start w:val="1"/>
      <w:numFmt w:val="bullet"/>
      <w:lvlText w:val=""/>
      <w:lvlJc w:val="left"/>
      <w:pPr>
        <w:ind w:left="1020" w:hanging="360"/>
      </w:pPr>
      <w:rPr>
        <w:rFonts w:ascii="Symbol" w:hAnsi="Symbol"/>
      </w:rPr>
    </w:lvl>
  </w:abstractNum>
  <w:abstractNum w:abstractNumId="26" w15:restartNumberingAfterBreak="0">
    <w:nsid w:val="48F51043"/>
    <w:multiLevelType w:val="hybridMultilevel"/>
    <w:tmpl w:val="4DA8A8C8"/>
    <w:lvl w:ilvl="0" w:tplc="84542A50">
      <w:start w:val="1"/>
      <w:numFmt w:val="lowerRoman"/>
      <w:lvlText w:val="(%1)"/>
      <w:lvlJc w:val="left"/>
      <w:pPr>
        <w:ind w:left="720" w:hanging="360"/>
      </w:pPr>
      <w:rPr>
        <w:rFonts w:ascii="Verdana" w:hAnsi="Verdana" w:cs="Calibri" w:hint="default"/>
        <w:b w:val="0"/>
        <w:i w:val="0"/>
        <w:i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A206548"/>
    <w:multiLevelType w:val="hybridMultilevel"/>
    <w:tmpl w:val="EA1488D6"/>
    <w:lvl w:ilvl="0" w:tplc="04130003">
      <w:start w:val="1"/>
      <w:numFmt w:val="bullet"/>
      <w:lvlText w:val="o"/>
      <w:lvlJc w:val="left"/>
      <w:pPr>
        <w:ind w:left="720" w:hanging="360"/>
      </w:pPr>
      <w:rPr>
        <w:rFonts w:ascii="Courier New" w:hAnsi="Courier New" w:cs="Courier New" w:hint="default"/>
        <w:b w:val="0"/>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E028E9"/>
    <w:multiLevelType w:val="hybridMultilevel"/>
    <w:tmpl w:val="7DDCE3F6"/>
    <w:lvl w:ilvl="0" w:tplc="E092C988">
      <w:start w:val="1"/>
      <w:numFmt w:val="lowerRoman"/>
      <w:lvlText w:val="(%1)"/>
      <w:lvlJc w:val="left"/>
      <w:pPr>
        <w:ind w:left="720" w:hanging="360"/>
      </w:pPr>
      <w:rPr>
        <w:rFonts w:ascii="Verdana" w:hAnsi="Verdana" w:cs="Calibri" w:hint="default"/>
        <w:b w:val="0"/>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C7B4A45"/>
    <w:multiLevelType w:val="hybridMultilevel"/>
    <w:tmpl w:val="F7F04EC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0" w15:restartNumberingAfterBreak="0">
    <w:nsid w:val="511275D1"/>
    <w:multiLevelType w:val="hybridMultilevel"/>
    <w:tmpl w:val="35A0922E"/>
    <w:lvl w:ilvl="0" w:tplc="1DB2BB1C">
      <w:start w:val="1"/>
      <w:numFmt w:val="lowerRoman"/>
      <w:lvlText w:val="(%1)"/>
      <w:lvlJc w:val="left"/>
      <w:pPr>
        <w:ind w:left="720" w:hanging="360"/>
      </w:pPr>
      <w:rPr>
        <w:rFonts w:ascii="Calibri" w:hAnsi="Calibri" w:cs="Calibri" w:hint="default"/>
        <w:b w:val="0"/>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7BB7C48"/>
    <w:multiLevelType w:val="hybridMultilevel"/>
    <w:tmpl w:val="61D0FABE"/>
    <w:lvl w:ilvl="0" w:tplc="FFFFFFFF">
      <w:start w:val="1"/>
      <w:numFmt w:val="bullet"/>
      <w:lvlText w:val="o"/>
      <w:lvlJc w:val="left"/>
      <w:pPr>
        <w:ind w:left="720" w:hanging="360"/>
      </w:pPr>
      <w:rPr>
        <w:rFonts w:ascii="Courier New" w:hAnsi="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CB146F0"/>
    <w:multiLevelType w:val="multilevel"/>
    <w:tmpl w:val="33406E7A"/>
    <w:lvl w:ilvl="0">
      <w:start w:val="1"/>
      <w:numFmt w:val="lowerLetter"/>
      <w:lvlText w:val="%1."/>
      <w:lvlJc w:val="left"/>
      <w:pPr>
        <w:tabs>
          <w:tab w:val="num" w:pos="360"/>
        </w:tabs>
        <w:ind w:left="360" w:hanging="360"/>
      </w:pPr>
      <w:rPr>
        <w:b w:val="0"/>
        <w:bCs w:val="0"/>
        <w:sz w:val="18"/>
        <w:szCs w:val="18"/>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ascii="Verdana" w:eastAsia="Verdana" w:hAnsi="Verdana" w:cs="Verdana"/>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D7E6372"/>
    <w:multiLevelType w:val="hybridMultilevel"/>
    <w:tmpl w:val="AA4EF2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D984F13"/>
    <w:multiLevelType w:val="hybridMultilevel"/>
    <w:tmpl w:val="18CCB750"/>
    <w:lvl w:ilvl="0" w:tplc="04130003">
      <w:start w:val="1"/>
      <w:numFmt w:val="bullet"/>
      <w:lvlText w:val="o"/>
      <w:lvlJc w:val="left"/>
      <w:pPr>
        <w:ind w:left="720" w:hanging="360"/>
      </w:pPr>
      <w:rPr>
        <w:rFonts w:ascii="Courier New" w:hAnsi="Courier New" w:cs="Courier New" w:hint="default"/>
        <w:b w:val="0"/>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E116DA9"/>
    <w:multiLevelType w:val="hybridMultilevel"/>
    <w:tmpl w:val="9CE6B7F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5EB633E4"/>
    <w:multiLevelType w:val="hybridMultilevel"/>
    <w:tmpl w:val="C30C230E"/>
    <w:lvl w:ilvl="0" w:tplc="0C9E6116">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FE46D8A"/>
    <w:multiLevelType w:val="hybridMultilevel"/>
    <w:tmpl w:val="B76AD950"/>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3A21C43"/>
    <w:multiLevelType w:val="hybridMultilevel"/>
    <w:tmpl w:val="C08EBFC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50A005D"/>
    <w:multiLevelType w:val="hybridMultilevel"/>
    <w:tmpl w:val="508A45EE"/>
    <w:lvl w:ilvl="0" w:tplc="66D46E90">
      <w:start w:val="1"/>
      <w:numFmt w:val="bullet"/>
      <w:lvlText w:val=""/>
      <w:lvlJc w:val="left"/>
      <w:pPr>
        <w:ind w:left="360" w:hanging="360"/>
      </w:pPr>
      <w:rPr>
        <w:rFonts w:ascii="Symbol" w:eastAsia="Verdana" w:hAnsi="Symbol" w:cs="Verdana" w:hint="default"/>
        <w:i/>
      </w:rPr>
    </w:lvl>
    <w:lvl w:ilvl="1" w:tplc="FFFFFFFF">
      <w:start w:val="1"/>
      <w:numFmt w:val="bullet"/>
      <w:lvlText w:val=""/>
      <w:lvlJc w:val="left"/>
      <w:pPr>
        <w:ind w:left="1080" w:hanging="360"/>
      </w:pPr>
      <w:rPr>
        <w:rFonts w:ascii="Symbol" w:eastAsia="Verdana" w:hAnsi="Symbol" w:cs="Verdana"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580205B"/>
    <w:multiLevelType w:val="hybridMultilevel"/>
    <w:tmpl w:val="62FE1DE6"/>
    <w:lvl w:ilvl="0" w:tplc="9594B982">
      <w:start w:val="1"/>
      <w:numFmt w:val="decimal"/>
      <w:lvlText w:val="%1."/>
      <w:lvlJc w:val="left"/>
      <w:pPr>
        <w:ind w:left="580" w:hanging="360"/>
      </w:pPr>
      <w:rPr>
        <w:rFonts w:hint="default"/>
      </w:rPr>
    </w:lvl>
    <w:lvl w:ilvl="1" w:tplc="04130019" w:tentative="1">
      <w:start w:val="1"/>
      <w:numFmt w:val="lowerLetter"/>
      <w:lvlText w:val="%2."/>
      <w:lvlJc w:val="left"/>
      <w:pPr>
        <w:ind w:left="1300" w:hanging="360"/>
      </w:pPr>
    </w:lvl>
    <w:lvl w:ilvl="2" w:tplc="0413001B" w:tentative="1">
      <w:start w:val="1"/>
      <w:numFmt w:val="lowerRoman"/>
      <w:lvlText w:val="%3."/>
      <w:lvlJc w:val="right"/>
      <w:pPr>
        <w:ind w:left="2020" w:hanging="180"/>
      </w:pPr>
    </w:lvl>
    <w:lvl w:ilvl="3" w:tplc="0413000F" w:tentative="1">
      <w:start w:val="1"/>
      <w:numFmt w:val="decimal"/>
      <w:lvlText w:val="%4."/>
      <w:lvlJc w:val="left"/>
      <w:pPr>
        <w:ind w:left="2740" w:hanging="360"/>
      </w:pPr>
    </w:lvl>
    <w:lvl w:ilvl="4" w:tplc="04130019" w:tentative="1">
      <w:start w:val="1"/>
      <w:numFmt w:val="lowerLetter"/>
      <w:lvlText w:val="%5."/>
      <w:lvlJc w:val="left"/>
      <w:pPr>
        <w:ind w:left="3460" w:hanging="360"/>
      </w:pPr>
    </w:lvl>
    <w:lvl w:ilvl="5" w:tplc="0413001B" w:tentative="1">
      <w:start w:val="1"/>
      <w:numFmt w:val="lowerRoman"/>
      <w:lvlText w:val="%6."/>
      <w:lvlJc w:val="right"/>
      <w:pPr>
        <w:ind w:left="4180" w:hanging="180"/>
      </w:pPr>
    </w:lvl>
    <w:lvl w:ilvl="6" w:tplc="0413000F" w:tentative="1">
      <w:start w:val="1"/>
      <w:numFmt w:val="decimal"/>
      <w:lvlText w:val="%7."/>
      <w:lvlJc w:val="left"/>
      <w:pPr>
        <w:ind w:left="4900" w:hanging="360"/>
      </w:pPr>
    </w:lvl>
    <w:lvl w:ilvl="7" w:tplc="04130019" w:tentative="1">
      <w:start w:val="1"/>
      <w:numFmt w:val="lowerLetter"/>
      <w:lvlText w:val="%8."/>
      <w:lvlJc w:val="left"/>
      <w:pPr>
        <w:ind w:left="5620" w:hanging="360"/>
      </w:pPr>
    </w:lvl>
    <w:lvl w:ilvl="8" w:tplc="0413001B" w:tentative="1">
      <w:start w:val="1"/>
      <w:numFmt w:val="lowerRoman"/>
      <w:lvlText w:val="%9."/>
      <w:lvlJc w:val="right"/>
      <w:pPr>
        <w:ind w:left="6340" w:hanging="180"/>
      </w:pPr>
    </w:lvl>
  </w:abstractNum>
  <w:abstractNum w:abstractNumId="41" w15:restartNumberingAfterBreak="0">
    <w:nsid w:val="67FE5956"/>
    <w:multiLevelType w:val="multilevel"/>
    <w:tmpl w:val="832EF81C"/>
    <w:lvl w:ilvl="0">
      <w:start w:val="1"/>
      <w:numFmt w:val="lowerLetter"/>
      <w:lvlText w:val="%1."/>
      <w:lvlJc w:val="left"/>
      <w:pPr>
        <w:tabs>
          <w:tab w:val="num" w:pos="360"/>
        </w:tabs>
        <w:ind w:left="360" w:hanging="360"/>
      </w:pPr>
      <w:rPr>
        <w:rFonts w:hint="default"/>
        <w:b w:val="0"/>
        <w:bCs w:val="0"/>
        <w:sz w:val="18"/>
        <w:szCs w:val="18"/>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ascii="Verdana" w:eastAsia="Verdana" w:hAnsi="Verdana" w:cs="Verdana"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68A25C76"/>
    <w:multiLevelType w:val="hybridMultilevel"/>
    <w:tmpl w:val="B922D546"/>
    <w:lvl w:ilvl="0" w:tplc="C4743422">
      <w:start w:val="4"/>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6930362D"/>
    <w:multiLevelType w:val="hybridMultilevel"/>
    <w:tmpl w:val="2C9A5BA6"/>
    <w:lvl w:ilvl="0" w:tplc="8D0EC3F4">
      <w:start w:val="1"/>
      <w:numFmt w:val="lowerLetter"/>
      <w:lvlText w:val="%1."/>
      <w:lvlJc w:val="left"/>
      <w:pPr>
        <w:ind w:left="720" w:hanging="360"/>
      </w:pPr>
      <w:rPr>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9CB5122"/>
    <w:multiLevelType w:val="hybridMultilevel"/>
    <w:tmpl w:val="81AC06D0"/>
    <w:lvl w:ilvl="0" w:tplc="0413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5" w15:restartNumberingAfterBreak="0">
    <w:nsid w:val="6F153FDF"/>
    <w:multiLevelType w:val="multilevel"/>
    <w:tmpl w:val="11FEA17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6" w15:restartNumberingAfterBreak="0">
    <w:nsid w:val="6FA8505F"/>
    <w:multiLevelType w:val="hybridMultilevel"/>
    <w:tmpl w:val="46C08D92"/>
    <w:lvl w:ilvl="0" w:tplc="A3884088">
      <w:start w:val="1"/>
      <w:numFmt w:val="lowerLetter"/>
      <w:lvlText w:val="%1."/>
      <w:lvlJc w:val="left"/>
      <w:pPr>
        <w:ind w:left="360" w:hanging="360"/>
      </w:pPr>
      <w:rPr>
        <w:rFonts w:ascii="Verdana" w:eastAsia="Verdana" w:hAnsi="Verdana" w:cs="Verdana"/>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72B14441"/>
    <w:multiLevelType w:val="hybridMultilevel"/>
    <w:tmpl w:val="D062C494"/>
    <w:lvl w:ilvl="0" w:tplc="0413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79E2A6F"/>
    <w:multiLevelType w:val="hybridMultilevel"/>
    <w:tmpl w:val="3340AA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7A3803FC"/>
    <w:multiLevelType w:val="hybridMultilevel"/>
    <w:tmpl w:val="0DB8AE18"/>
    <w:lvl w:ilvl="0" w:tplc="D70C619C">
      <w:start w:val="2"/>
      <w:numFmt w:val="bullet"/>
      <w:lvlText w:val="-"/>
      <w:lvlJc w:val="left"/>
      <w:pPr>
        <w:ind w:left="360" w:hanging="360"/>
      </w:pPr>
      <w:rPr>
        <w:rFonts w:ascii="Calibri Light" w:eastAsiaTheme="minorHAnsi" w:hAnsi="Calibri Light" w:cs="Calibri Light"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7A421B3C"/>
    <w:multiLevelType w:val="hybridMultilevel"/>
    <w:tmpl w:val="815E5D1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1" w15:restartNumberingAfterBreak="0">
    <w:nsid w:val="7E600906"/>
    <w:multiLevelType w:val="multilevel"/>
    <w:tmpl w:val="A1687CE4"/>
    <w:lvl w:ilvl="0">
      <w:start w:val="4"/>
      <w:numFmt w:val="lowerLetter"/>
      <w:lvlText w:val="%1."/>
      <w:lvlJc w:val="left"/>
      <w:pPr>
        <w:tabs>
          <w:tab w:val="num" w:pos="360"/>
        </w:tabs>
        <w:ind w:left="360" w:hanging="360"/>
      </w:pPr>
      <w:rPr>
        <w:rFonts w:hint="default"/>
        <w:b w:val="0"/>
        <w:bCs w:val="0"/>
        <w:sz w:val="18"/>
        <w:szCs w:val="18"/>
      </w:rPr>
    </w:lvl>
    <w:lvl w:ilvl="1">
      <w:start w:val="1"/>
      <w:numFmt w:val="bullet"/>
      <w:lvlText w:val=""/>
      <w:lvlJc w:val="left"/>
      <w:pPr>
        <w:ind w:left="1080" w:hanging="360"/>
      </w:pPr>
      <w:rPr>
        <w:rFonts w:ascii="Symbol" w:hAnsi="Symbol" w:hint="default"/>
      </w:rPr>
    </w:lvl>
    <w:lvl w:ilvl="2">
      <w:start w:val="1"/>
      <w:numFmt w:val="decimal"/>
      <w:lvlText w:val="%3."/>
      <w:lvlJc w:val="left"/>
      <w:pPr>
        <w:ind w:left="1800" w:hanging="360"/>
      </w:pPr>
      <w:rPr>
        <w:rFonts w:ascii="Verdana" w:eastAsia="Verdana" w:hAnsi="Verdana" w:cs="Verdana"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7EBF2DAD"/>
    <w:multiLevelType w:val="hybridMultilevel"/>
    <w:tmpl w:val="FB72C6EC"/>
    <w:lvl w:ilvl="0" w:tplc="FFFFFFFF">
      <w:start w:val="4"/>
      <w:numFmt w:val="bullet"/>
      <w:lvlText w:val="-"/>
      <w:lvlJc w:val="left"/>
      <w:pPr>
        <w:ind w:left="360" w:hanging="360"/>
      </w:pPr>
      <w:rPr>
        <w:rFonts w:ascii="Verdana" w:hAnsi="Verdana" w:hint="default"/>
      </w:rPr>
    </w:lvl>
    <w:lvl w:ilvl="1" w:tplc="FFFFFFFF">
      <w:start w:val="4"/>
      <w:numFmt w:val="bullet"/>
      <w:lvlText w:val="-"/>
      <w:lvlJc w:val="left"/>
      <w:pPr>
        <w:ind w:left="1080" w:hanging="360"/>
      </w:pPr>
      <w:rPr>
        <w:rFonts w:ascii="Verdana" w:hAnsi="Verdana"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020205195">
    <w:abstractNumId w:val="18"/>
  </w:num>
  <w:num w:numId="2" w16cid:durableId="1825467739">
    <w:abstractNumId w:val="9"/>
  </w:num>
  <w:num w:numId="3" w16cid:durableId="731395173">
    <w:abstractNumId w:val="45"/>
  </w:num>
  <w:num w:numId="4" w16cid:durableId="1750687889">
    <w:abstractNumId w:val="33"/>
  </w:num>
  <w:num w:numId="5" w16cid:durableId="959382353">
    <w:abstractNumId w:val="49"/>
  </w:num>
  <w:num w:numId="6" w16cid:durableId="2030256438">
    <w:abstractNumId w:val="52"/>
  </w:num>
  <w:num w:numId="7" w16cid:durableId="1230963528">
    <w:abstractNumId w:val="11"/>
  </w:num>
  <w:num w:numId="8" w16cid:durableId="1272586439">
    <w:abstractNumId w:val="12"/>
  </w:num>
  <w:num w:numId="9" w16cid:durableId="1690254898">
    <w:abstractNumId w:val="31"/>
  </w:num>
  <w:num w:numId="10" w16cid:durableId="1279491312">
    <w:abstractNumId w:val="42"/>
  </w:num>
  <w:num w:numId="11" w16cid:durableId="1437139068">
    <w:abstractNumId w:val="44"/>
  </w:num>
  <w:num w:numId="12" w16cid:durableId="1771003110">
    <w:abstractNumId w:val="3"/>
  </w:num>
  <w:num w:numId="13" w16cid:durableId="1898587324">
    <w:abstractNumId w:val="46"/>
  </w:num>
  <w:num w:numId="14" w16cid:durableId="574827425">
    <w:abstractNumId w:val="2"/>
  </w:num>
  <w:num w:numId="15" w16cid:durableId="710614939">
    <w:abstractNumId w:val="23"/>
  </w:num>
  <w:num w:numId="16" w16cid:durableId="1875800865">
    <w:abstractNumId w:val="5"/>
  </w:num>
  <w:num w:numId="17" w16cid:durableId="1960526069">
    <w:abstractNumId w:val="32"/>
  </w:num>
  <w:num w:numId="18" w16cid:durableId="912469832">
    <w:abstractNumId w:val="13"/>
  </w:num>
  <w:num w:numId="19" w16cid:durableId="1505974041">
    <w:abstractNumId w:val="7"/>
  </w:num>
  <w:num w:numId="20" w16cid:durableId="1960262957">
    <w:abstractNumId w:val="15"/>
  </w:num>
  <w:num w:numId="21" w16cid:durableId="671564529">
    <w:abstractNumId w:val="37"/>
  </w:num>
  <w:num w:numId="22" w16cid:durableId="588193764">
    <w:abstractNumId w:val="39"/>
  </w:num>
  <w:num w:numId="23" w16cid:durableId="153113594">
    <w:abstractNumId w:val="35"/>
  </w:num>
  <w:num w:numId="24" w16cid:durableId="1905750490">
    <w:abstractNumId w:val="8"/>
  </w:num>
  <w:num w:numId="25" w16cid:durableId="1625235681">
    <w:abstractNumId w:val="51"/>
  </w:num>
  <w:num w:numId="26" w16cid:durableId="769084359">
    <w:abstractNumId w:val="41"/>
  </w:num>
  <w:num w:numId="27" w16cid:durableId="345913159">
    <w:abstractNumId w:val="38"/>
  </w:num>
  <w:num w:numId="28" w16cid:durableId="376391032">
    <w:abstractNumId w:val="14"/>
  </w:num>
  <w:num w:numId="29" w16cid:durableId="1639802337">
    <w:abstractNumId w:val="25"/>
  </w:num>
  <w:num w:numId="30" w16cid:durableId="1223517802">
    <w:abstractNumId w:val="0"/>
  </w:num>
  <w:num w:numId="31" w16cid:durableId="1970669133">
    <w:abstractNumId w:val="17"/>
  </w:num>
  <w:num w:numId="32" w16cid:durableId="948389106">
    <w:abstractNumId w:val="29"/>
  </w:num>
  <w:num w:numId="33" w16cid:durableId="1808400940">
    <w:abstractNumId w:val="1"/>
  </w:num>
  <w:num w:numId="34" w16cid:durableId="1402751268">
    <w:abstractNumId w:val="19"/>
  </w:num>
  <w:num w:numId="35" w16cid:durableId="223412318">
    <w:abstractNumId w:val="50"/>
  </w:num>
  <w:num w:numId="36" w16cid:durableId="784349989">
    <w:abstractNumId w:val="16"/>
  </w:num>
  <w:num w:numId="37" w16cid:durableId="2114085006">
    <w:abstractNumId w:val="48"/>
  </w:num>
  <w:num w:numId="38" w16cid:durableId="1142425450">
    <w:abstractNumId w:val="4"/>
  </w:num>
  <w:num w:numId="39" w16cid:durableId="944920156">
    <w:abstractNumId w:val="26"/>
  </w:num>
  <w:num w:numId="40" w16cid:durableId="1356230699">
    <w:abstractNumId w:val="36"/>
  </w:num>
  <w:num w:numId="41" w16cid:durableId="72507019">
    <w:abstractNumId w:val="30"/>
  </w:num>
  <w:num w:numId="42" w16cid:durableId="1143814908">
    <w:abstractNumId w:val="6"/>
  </w:num>
  <w:num w:numId="43" w16cid:durableId="414086383">
    <w:abstractNumId w:val="20"/>
  </w:num>
  <w:num w:numId="44" w16cid:durableId="725491897">
    <w:abstractNumId w:val="22"/>
  </w:num>
  <w:num w:numId="45" w16cid:durableId="1025450291">
    <w:abstractNumId w:val="43"/>
  </w:num>
  <w:num w:numId="46" w16cid:durableId="1248425261">
    <w:abstractNumId w:val="10"/>
  </w:num>
  <w:num w:numId="47" w16cid:durableId="1072772454">
    <w:abstractNumId w:val="28"/>
  </w:num>
  <w:num w:numId="48" w16cid:durableId="697586619">
    <w:abstractNumId w:val="47"/>
  </w:num>
  <w:num w:numId="49" w16cid:durableId="1237518105">
    <w:abstractNumId w:val="24"/>
  </w:num>
  <w:num w:numId="50" w16cid:durableId="1427724887">
    <w:abstractNumId w:val="34"/>
  </w:num>
  <w:num w:numId="51" w16cid:durableId="1401711976">
    <w:abstractNumId w:val="27"/>
  </w:num>
  <w:num w:numId="52" w16cid:durableId="893859301">
    <w:abstractNumId w:val="40"/>
  </w:num>
  <w:num w:numId="53" w16cid:durableId="2032296704">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C77"/>
    <w:rsid w:val="00000D25"/>
    <w:rsid w:val="0000156F"/>
    <w:rsid w:val="000016A4"/>
    <w:rsid w:val="00001A1F"/>
    <w:rsid w:val="00002402"/>
    <w:rsid w:val="00002669"/>
    <w:rsid w:val="00002AB5"/>
    <w:rsid w:val="00003D23"/>
    <w:rsid w:val="00004186"/>
    <w:rsid w:val="0000499F"/>
    <w:rsid w:val="000059C1"/>
    <w:rsid w:val="00006A2A"/>
    <w:rsid w:val="000078F6"/>
    <w:rsid w:val="00007C03"/>
    <w:rsid w:val="000100D0"/>
    <w:rsid w:val="00010532"/>
    <w:rsid w:val="000106F2"/>
    <w:rsid w:val="000107BC"/>
    <w:rsid w:val="00010968"/>
    <w:rsid w:val="00010B01"/>
    <w:rsid w:val="000112F5"/>
    <w:rsid w:val="000119CA"/>
    <w:rsid w:val="00012495"/>
    <w:rsid w:val="00012825"/>
    <w:rsid w:val="00012AA4"/>
    <w:rsid w:val="00012F8E"/>
    <w:rsid w:val="000137EA"/>
    <w:rsid w:val="00013C98"/>
    <w:rsid w:val="00013F10"/>
    <w:rsid w:val="0001441C"/>
    <w:rsid w:val="00014FEF"/>
    <w:rsid w:val="00016805"/>
    <w:rsid w:val="00017287"/>
    <w:rsid w:val="00017CF1"/>
    <w:rsid w:val="00020939"/>
    <w:rsid w:val="00020DEE"/>
    <w:rsid w:val="00020F5F"/>
    <w:rsid w:val="000214DE"/>
    <w:rsid w:val="00022B68"/>
    <w:rsid w:val="000239D2"/>
    <w:rsid w:val="00024496"/>
    <w:rsid w:val="00024766"/>
    <w:rsid w:val="00025B0D"/>
    <w:rsid w:val="000260B9"/>
    <w:rsid w:val="00026812"/>
    <w:rsid w:val="00026A05"/>
    <w:rsid w:val="00026BD2"/>
    <w:rsid w:val="00026D4A"/>
    <w:rsid w:val="00027237"/>
    <w:rsid w:val="00027670"/>
    <w:rsid w:val="00027D5A"/>
    <w:rsid w:val="00030677"/>
    <w:rsid w:val="00031CF3"/>
    <w:rsid w:val="000324F3"/>
    <w:rsid w:val="000324F9"/>
    <w:rsid w:val="00032717"/>
    <w:rsid w:val="0003283B"/>
    <w:rsid w:val="000333D7"/>
    <w:rsid w:val="00034064"/>
    <w:rsid w:val="0003429B"/>
    <w:rsid w:val="00034973"/>
    <w:rsid w:val="000349A6"/>
    <w:rsid w:val="00035012"/>
    <w:rsid w:val="00035513"/>
    <w:rsid w:val="0003558C"/>
    <w:rsid w:val="000361CC"/>
    <w:rsid w:val="0003666A"/>
    <w:rsid w:val="00036EF7"/>
    <w:rsid w:val="00037982"/>
    <w:rsid w:val="00037A57"/>
    <w:rsid w:val="00041717"/>
    <w:rsid w:val="00041A52"/>
    <w:rsid w:val="000427D4"/>
    <w:rsid w:val="000432DA"/>
    <w:rsid w:val="00043C24"/>
    <w:rsid w:val="00044951"/>
    <w:rsid w:val="00044E3E"/>
    <w:rsid w:val="00046187"/>
    <w:rsid w:val="000471C1"/>
    <w:rsid w:val="000472DB"/>
    <w:rsid w:val="000474E3"/>
    <w:rsid w:val="000478FB"/>
    <w:rsid w:val="0005189C"/>
    <w:rsid w:val="00051DB9"/>
    <w:rsid w:val="00052057"/>
    <w:rsid w:val="00052384"/>
    <w:rsid w:val="00052B5B"/>
    <w:rsid w:val="00052BC1"/>
    <w:rsid w:val="000531B4"/>
    <w:rsid w:val="00053700"/>
    <w:rsid w:val="00053ED7"/>
    <w:rsid w:val="0005465D"/>
    <w:rsid w:val="00054CE5"/>
    <w:rsid w:val="00055EF4"/>
    <w:rsid w:val="00056C8D"/>
    <w:rsid w:val="00056D0F"/>
    <w:rsid w:val="000572D2"/>
    <w:rsid w:val="00060527"/>
    <w:rsid w:val="000616F2"/>
    <w:rsid w:val="00061720"/>
    <w:rsid w:val="00061BE4"/>
    <w:rsid w:val="00061FEB"/>
    <w:rsid w:val="00062437"/>
    <w:rsid w:val="000625C0"/>
    <w:rsid w:val="00062841"/>
    <w:rsid w:val="000632BF"/>
    <w:rsid w:val="00063359"/>
    <w:rsid w:val="0006399A"/>
    <w:rsid w:val="00063D38"/>
    <w:rsid w:val="00063DED"/>
    <w:rsid w:val="00064408"/>
    <w:rsid w:val="00065577"/>
    <w:rsid w:val="00065A56"/>
    <w:rsid w:val="00065D55"/>
    <w:rsid w:val="000703AD"/>
    <w:rsid w:val="00070BD0"/>
    <w:rsid w:val="00071059"/>
    <w:rsid w:val="00071368"/>
    <w:rsid w:val="000718D8"/>
    <w:rsid w:val="00072229"/>
    <w:rsid w:val="00072449"/>
    <w:rsid w:val="00072831"/>
    <w:rsid w:val="00072D12"/>
    <w:rsid w:val="00072D7F"/>
    <w:rsid w:val="0007304A"/>
    <w:rsid w:val="00073165"/>
    <w:rsid w:val="00073517"/>
    <w:rsid w:val="00073B60"/>
    <w:rsid w:val="00073C20"/>
    <w:rsid w:val="00073DA7"/>
    <w:rsid w:val="00073EA5"/>
    <w:rsid w:val="00074299"/>
    <w:rsid w:val="00074955"/>
    <w:rsid w:val="000755ED"/>
    <w:rsid w:val="00076FBE"/>
    <w:rsid w:val="00077EAB"/>
    <w:rsid w:val="00080525"/>
    <w:rsid w:val="00080D83"/>
    <w:rsid w:val="00080DBB"/>
    <w:rsid w:val="000813D4"/>
    <w:rsid w:val="000825DC"/>
    <w:rsid w:val="0008295D"/>
    <w:rsid w:val="0008362E"/>
    <w:rsid w:val="00083943"/>
    <w:rsid w:val="00083DCC"/>
    <w:rsid w:val="00084C1B"/>
    <w:rsid w:val="000861E8"/>
    <w:rsid w:val="00086605"/>
    <w:rsid w:val="00087A6B"/>
    <w:rsid w:val="00090C1E"/>
    <w:rsid w:val="000916E5"/>
    <w:rsid w:val="00091859"/>
    <w:rsid w:val="00091A2F"/>
    <w:rsid w:val="00092448"/>
    <w:rsid w:val="00092452"/>
    <w:rsid w:val="000926CA"/>
    <w:rsid w:val="000928BF"/>
    <w:rsid w:val="0009293D"/>
    <w:rsid w:val="0009339B"/>
    <w:rsid w:val="00093B02"/>
    <w:rsid w:val="00094312"/>
    <w:rsid w:val="00094AB9"/>
    <w:rsid w:val="00095434"/>
    <w:rsid w:val="00097D85"/>
    <w:rsid w:val="000A04D3"/>
    <w:rsid w:val="000A19DF"/>
    <w:rsid w:val="000A1D75"/>
    <w:rsid w:val="000A2197"/>
    <w:rsid w:val="000A2C30"/>
    <w:rsid w:val="000A380F"/>
    <w:rsid w:val="000A3D9A"/>
    <w:rsid w:val="000A43DA"/>
    <w:rsid w:val="000A4E32"/>
    <w:rsid w:val="000A545D"/>
    <w:rsid w:val="000A5564"/>
    <w:rsid w:val="000A639B"/>
    <w:rsid w:val="000A6C66"/>
    <w:rsid w:val="000A6FC6"/>
    <w:rsid w:val="000B0CA1"/>
    <w:rsid w:val="000B10EE"/>
    <w:rsid w:val="000B216E"/>
    <w:rsid w:val="000B3785"/>
    <w:rsid w:val="000B3A75"/>
    <w:rsid w:val="000B44CE"/>
    <w:rsid w:val="000B4720"/>
    <w:rsid w:val="000B4DF0"/>
    <w:rsid w:val="000B5009"/>
    <w:rsid w:val="000B51B8"/>
    <w:rsid w:val="000B56F6"/>
    <w:rsid w:val="000B68C9"/>
    <w:rsid w:val="000B6B8E"/>
    <w:rsid w:val="000B6BD9"/>
    <w:rsid w:val="000B7AB3"/>
    <w:rsid w:val="000C06EB"/>
    <w:rsid w:val="000C3443"/>
    <w:rsid w:val="000C3A4D"/>
    <w:rsid w:val="000C4542"/>
    <w:rsid w:val="000C52D4"/>
    <w:rsid w:val="000C6293"/>
    <w:rsid w:val="000C6CFC"/>
    <w:rsid w:val="000D04D6"/>
    <w:rsid w:val="000D094C"/>
    <w:rsid w:val="000D138F"/>
    <w:rsid w:val="000D2089"/>
    <w:rsid w:val="000D317F"/>
    <w:rsid w:val="000D3EB7"/>
    <w:rsid w:val="000D48DA"/>
    <w:rsid w:val="000D5908"/>
    <w:rsid w:val="000D5AD7"/>
    <w:rsid w:val="000D62CA"/>
    <w:rsid w:val="000D689F"/>
    <w:rsid w:val="000D6DF7"/>
    <w:rsid w:val="000D6FD0"/>
    <w:rsid w:val="000D7ED4"/>
    <w:rsid w:val="000E03B1"/>
    <w:rsid w:val="000E0D09"/>
    <w:rsid w:val="000E1C5C"/>
    <w:rsid w:val="000E2316"/>
    <w:rsid w:val="000E29F6"/>
    <w:rsid w:val="000E2D4B"/>
    <w:rsid w:val="000E355E"/>
    <w:rsid w:val="000E3AB7"/>
    <w:rsid w:val="000E574C"/>
    <w:rsid w:val="000E5B42"/>
    <w:rsid w:val="000E66D3"/>
    <w:rsid w:val="000E70DF"/>
    <w:rsid w:val="000E71B3"/>
    <w:rsid w:val="000E7600"/>
    <w:rsid w:val="000F01A6"/>
    <w:rsid w:val="000F09CA"/>
    <w:rsid w:val="000F0BCE"/>
    <w:rsid w:val="000F0C9A"/>
    <w:rsid w:val="000F1409"/>
    <w:rsid w:val="000F170C"/>
    <w:rsid w:val="000F1C32"/>
    <w:rsid w:val="000F236C"/>
    <w:rsid w:val="000F2F41"/>
    <w:rsid w:val="000F3F80"/>
    <w:rsid w:val="000F43A4"/>
    <w:rsid w:val="000F4599"/>
    <w:rsid w:val="000F4C27"/>
    <w:rsid w:val="000F4D13"/>
    <w:rsid w:val="000F501B"/>
    <w:rsid w:val="000F66EE"/>
    <w:rsid w:val="000F6D2A"/>
    <w:rsid w:val="000F6E01"/>
    <w:rsid w:val="000F7385"/>
    <w:rsid w:val="00101492"/>
    <w:rsid w:val="00103B67"/>
    <w:rsid w:val="00104FAB"/>
    <w:rsid w:val="00105B74"/>
    <w:rsid w:val="001062ED"/>
    <w:rsid w:val="00106350"/>
    <w:rsid w:val="001069E7"/>
    <w:rsid w:val="00106F79"/>
    <w:rsid w:val="00107251"/>
    <w:rsid w:val="00107424"/>
    <w:rsid w:val="001100E6"/>
    <w:rsid w:val="00110BD8"/>
    <w:rsid w:val="001114CA"/>
    <w:rsid w:val="00111951"/>
    <w:rsid w:val="00111C4E"/>
    <w:rsid w:val="00111E69"/>
    <w:rsid w:val="00111FA5"/>
    <w:rsid w:val="0011208D"/>
    <w:rsid w:val="0011233E"/>
    <w:rsid w:val="00112A2F"/>
    <w:rsid w:val="0011396B"/>
    <w:rsid w:val="00114AAD"/>
    <w:rsid w:val="00115BD8"/>
    <w:rsid w:val="00116429"/>
    <w:rsid w:val="00116E88"/>
    <w:rsid w:val="00116F3D"/>
    <w:rsid w:val="00117029"/>
    <w:rsid w:val="001174B1"/>
    <w:rsid w:val="001176F9"/>
    <w:rsid w:val="001204BF"/>
    <w:rsid w:val="0012051F"/>
    <w:rsid w:val="00120604"/>
    <w:rsid w:val="00120B85"/>
    <w:rsid w:val="00122074"/>
    <w:rsid w:val="00122182"/>
    <w:rsid w:val="00122489"/>
    <w:rsid w:val="001227F4"/>
    <w:rsid w:val="001229D6"/>
    <w:rsid w:val="00122E6D"/>
    <w:rsid w:val="0012337F"/>
    <w:rsid w:val="00124106"/>
    <w:rsid w:val="001250F6"/>
    <w:rsid w:val="00126447"/>
    <w:rsid w:val="00126A23"/>
    <w:rsid w:val="00126A68"/>
    <w:rsid w:val="00126FEB"/>
    <w:rsid w:val="00127E4E"/>
    <w:rsid w:val="0013084B"/>
    <w:rsid w:val="00131FAC"/>
    <w:rsid w:val="00132542"/>
    <w:rsid w:val="001332CB"/>
    <w:rsid w:val="0013365A"/>
    <w:rsid w:val="00133A03"/>
    <w:rsid w:val="00133D6D"/>
    <w:rsid w:val="00134E92"/>
    <w:rsid w:val="00135109"/>
    <w:rsid w:val="0013667A"/>
    <w:rsid w:val="0013698A"/>
    <w:rsid w:val="00137AF3"/>
    <w:rsid w:val="00137E6D"/>
    <w:rsid w:val="001400F9"/>
    <w:rsid w:val="001403F4"/>
    <w:rsid w:val="00140706"/>
    <w:rsid w:val="001407FC"/>
    <w:rsid w:val="00140827"/>
    <w:rsid w:val="00141BD0"/>
    <w:rsid w:val="0014305A"/>
    <w:rsid w:val="00143413"/>
    <w:rsid w:val="001441F0"/>
    <w:rsid w:val="001448DD"/>
    <w:rsid w:val="001448EB"/>
    <w:rsid w:val="0014539C"/>
    <w:rsid w:val="001457F4"/>
    <w:rsid w:val="00146113"/>
    <w:rsid w:val="00146239"/>
    <w:rsid w:val="001463C5"/>
    <w:rsid w:val="0014679F"/>
    <w:rsid w:val="00146AF7"/>
    <w:rsid w:val="0014729F"/>
    <w:rsid w:val="001475E9"/>
    <w:rsid w:val="00147920"/>
    <w:rsid w:val="00147936"/>
    <w:rsid w:val="001503B4"/>
    <w:rsid w:val="00150F77"/>
    <w:rsid w:val="00151B1E"/>
    <w:rsid w:val="00151B38"/>
    <w:rsid w:val="00153884"/>
    <w:rsid w:val="001539B8"/>
    <w:rsid w:val="00153A28"/>
    <w:rsid w:val="0015421B"/>
    <w:rsid w:val="001543A2"/>
    <w:rsid w:val="00155358"/>
    <w:rsid w:val="00155492"/>
    <w:rsid w:val="00156C29"/>
    <w:rsid w:val="0015707E"/>
    <w:rsid w:val="00157519"/>
    <w:rsid w:val="001577C7"/>
    <w:rsid w:val="00157CFA"/>
    <w:rsid w:val="00157E8F"/>
    <w:rsid w:val="00161381"/>
    <w:rsid w:val="00161402"/>
    <w:rsid w:val="00161B4A"/>
    <w:rsid w:val="00161CA6"/>
    <w:rsid w:val="00162795"/>
    <w:rsid w:val="00162F2D"/>
    <w:rsid w:val="00163219"/>
    <w:rsid w:val="00164230"/>
    <w:rsid w:val="0016432B"/>
    <w:rsid w:val="0016518F"/>
    <w:rsid w:val="00165EB5"/>
    <w:rsid w:val="00166E8F"/>
    <w:rsid w:val="00167915"/>
    <w:rsid w:val="00171C41"/>
    <w:rsid w:val="00172C5C"/>
    <w:rsid w:val="001731A0"/>
    <w:rsid w:val="00174168"/>
    <w:rsid w:val="00175AAE"/>
    <w:rsid w:val="00175BAA"/>
    <w:rsid w:val="00176C54"/>
    <w:rsid w:val="00177675"/>
    <w:rsid w:val="00180327"/>
    <w:rsid w:val="001806D7"/>
    <w:rsid w:val="0018173A"/>
    <w:rsid w:val="00183563"/>
    <w:rsid w:val="0019151E"/>
    <w:rsid w:val="0019173B"/>
    <w:rsid w:val="00191B90"/>
    <w:rsid w:val="00191D09"/>
    <w:rsid w:val="00192858"/>
    <w:rsid w:val="00193221"/>
    <w:rsid w:val="00193436"/>
    <w:rsid w:val="001935E6"/>
    <w:rsid w:val="001936F8"/>
    <w:rsid w:val="0019494F"/>
    <w:rsid w:val="00194AD5"/>
    <w:rsid w:val="00194CF0"/>
    <w:rsid w:val="001950B3"/>
    <w:rsid w:val="0019520E"/>
    <w:rsid w:val="001952B9"/>
    <w:rsid w:val="00195B4B"/>
    <w:rsid w:val="00196822"/>
    <w:rsid w:val="00197041"/>
    <w:rsid w:val="001970A3"/>
    <w:rsid w:val="00197256"/>
    <w:rsid w:val="001A0F9B"/>
    <w:rsid w:val="001A0FEC"/>
    <w:rsid w:val="001A1469"/>
    <w:rsid w:val="001A2D76"/>
    <w:rsid w:val="001A312B"/>
    <w:rsid w:val="001A3151"/>
    <w:rsid w:val="001A3474"/>
    <w:rsid w:val="001A3ACA"/>
    <w:rsid w:val="001A5445"/>
    <w:rsid w:val="001A5CF4"/>
    <w:rsid w:val="001A6278"/>
    <w:rsid w:val="001A6501"/>
    <w:rsid w:val="001A703C"/>
    <w:rsid w:val="001A7717"/>
    <w:rsid w:val="001B0218"/>
    <w:rsid w:val="001B1588"/>
    <w:rsid w:val="001B1A84"/>
    <w:rsid w:val="001B24CD"/>
    <w:rsid w:val="001B256B"/>
    <w:rsid w:val="001B2618"/>
    <w:rsid w:val="001B2B34"/>
    <w:rsid w:val="001B2E19"/>
    <w:rsid w:val="001B31A3"/>
    <w:rsid w:val="001B3F60"/>
    <w:rsid w:val="001B4994"/>
    <w:rsid w:val="001B5C4D"/>
    <w:rsid w:val="001B6001"/>
    <w:rsid w:val="001B63DB"/>
    <w:rsid w:val="001B6AE0"/>
    <w:rsid w:val="001B6EC2"/>
    <w:rsid w:val="001B746A"/>
    <w:rsid w:val="001B7DB8"/>
    <w:rsid w:val="001C00C6"/>
    <w:rsid w:val="001C0CF8"/>
    <w:rsid w:val="001C1026"/>
    <w:rsid w:val="001C1DD6"/>
    <w:rsid w:val="001C202F"/>
    <w:rsid w:val="001C2203"/>
    <w:rsid w:val="001C2879"/>
    <w:rsid w:val="001C2A15"/>
    <w:rsid w:val="001C33A1"/>
    <w:rsid w:val="001C45A3"/>
    <w:rsid w:val="001C4B00"/>
    <w:rsid w:val="001C53BE"/>
    <w:rsid w:val="001C5B7D"/>
    <w:rsid w:val="001C6BED"/>
    <w:rsid w:val="001C752C"/>
    <w:rsid w:val="001C793A"/>
    <w:rsid w:val="001D03F5"/>
    <w:rsid w:val="001D0768"/>
    <w:rsid w:val="001D0C0F"/>
    <w:rsid w:val="001D13C0"/>
    <w:rsid w:val="001D277E"/>
    <w:rsid w:val="001D28F0"/>
    <w:rsid w:val="001D2DE0"/>
    <w:rsid w:val="001D32BC"/>
    <w:rsid w:val="001D3B5E"/>
    <w:rsid w:val="001D44A1"/>
    <w:rsid w:val="001D4A2B"/>
    <w:rsid w:val="001D4B80"/>
    <w:rsid w:val="001D5280"/>
    <w:rsid w:val="001D5CFB"/>
    <w:rsid w:val="001D7924"/>
    <w:rsid w:val="001E046D"/>
    <w:rsid w:val="001E1362"/>
    <w:rsid w:val="001E1FBC"/>
    <w:rsid w:val="001E2334"/>
    <w:rsid w:val="001E2558"/>
    <w:rsid w:val="001E29AB"/>
    <w:rsid w:val="001E3EE8"/>
    <w:rsid w:val="001E5190"/>
    <w:rsid w:val="001E53BA"/>
    <w:rsid w:val="001E5FFF"/>
    <w:rsid w:val="001E629F"/>
    <w:rsid w:val="001E7E74"/>
    <w:rsid w:val="001F17A0"/>
    <w:rsid w:val="001F1BC7"/>
    <w:rsid w:val="001F2399"/>
    <w:rsid w:val="001F2423"/>
    <w:rsid w:val="001F2CF0"/>
    <w:rsid w:val="001F2D6A"/>
    <w:rsid w:val="001F3710"/>
    <w:rsid w:val="001F402E"/>
    <w:rsid w:val="001F689D"/>
    <w:rsid w:val="001F739C"/>
    <w:rsid w:val="002000EB"/>
    <w:rsid w:val="00200A9B"/>
    <w:rsid w:val="00200C37"/>
    <w:rsid w:val="00200F5B"/>
    <w:rsid w:val="00200FA4"/>
    <w:rsid w:val="00201321"/>
    <w:rsid w:val="00201AE5"/>
    <w:rsid w:val="00201CBD"/>
    <w:rsid w:val="0020269E"/>
    <w:rsid w:val="00202BBB"/>
    <w:rsid w:val="00203305"/>
    <w:rsid w:val="00203339"/>
    <w:rsid w:val="00203573"/>
    <w:rsid w:val="002040A3"/>
    <w:rsid w:val="002045B3"/>
    <w:rsid w:val="00205320"/>
    <w:rsid w:val="00205EC1"/>
    <w:rsid w:val="00205FA6"/>
    <w:rsid w:val="0020615A"/>
    <w:rsid w:val="002063B5"/>
    <w:rsid w:val="00206876"/>
    <w:rsid w:val="00207013"/>
    <w:rsid w:val="00207717"/>
    <w:rsid w:val="002101D3"/>
    <w:rsid w:val="00210D82"/>
    <w:rsid w:val="00212779"/>
    <w:rsid w:val="00212C1F"/>
    <w:rsid w:val="00212EE6"/>
    <w:rsid w:val="00212F1D"/>
    <w:rsid w:val="00213378"/>
    <w:rsid w:val="00213810"/>
    <w:rsid w:val="00213AB6"/>
    <w:rsid w:val="00214184"/>
    <w:rsid w:val="00214F74"/>
    <w:rsid w:val="00215C29"/>
    <w:rsid w:val="00215E18"/>
    <w:rsid w:val="00215EAF"/>
    <w:rsid w:val="00216006"/>
    <w:rsid w:val="002167E9"/>
    <w:rsid w:val="002168D5"/>
    <w:rsid w:val="00216B32"/>
    <w:rsid w:val="00217562"/>
    <w:rsid w:val="00217FAF"/>
    <w:rsid w:val="00220A0C"/>
    <w:rsid w:val="00221575"/>
    <w:rsid w:val="00221A29"/>
    <w:rsid w:val="00223084"/>
    <w:rsid w:val="002233B1"/>
    <w:rsid w:val="00223550"/>
    <w:rsid w:val="002237FB"/>
    <w:rsid w:val="002238BC"/>
    <w:rsid w:val="00223BBA"/>
    <w:rsid w:val="00224941"/>
    <w:rsid w:val="00224B31"/>
    <w:rsid w:val="00224BF3"/>
    <w:rsid w:val="00224D82"/>
    <w:rsid w:val="00224E9F"/>
    <w:rsid w:val="00226161"/>
    <w:rsid w:val="00226A11"/>
    <w:rsid w:val="0022728D"/>
    <w:rsid w:val="00227DA3"/>
    <w:rsid w:val="00230A07"/>
    <w:rsid w:val="002311DF"/>
    <w:rsid w:val="002312FB"/>
    <w:rsid w:val="002314C9"/>
    <w:rsid w:val="0023211B"/>
    <w:rsid w:val="00232558"/>
    <w:rsid w:val="00232CDE"/>
    <w:rsid w:val="0023326B"/>
    <w:rsid w:val="002333D3"/>
    <w:rsid w:val="00233E96"/>
    <w:rsid w:val="00235488"/>
    <w:rsid w:val="00235A44"/>
    <w:rsid w:val="00235E2A"/>
    <w:rsid w:val="00235E5C"/>
    <w:rsid w:val="00236A73"/>
    <w:rsid w:val="00236C4F"/>
    <w:rsid w:val="0024037B"/>
    <w:rsid w:val="00241501"/>
    <w:rsid w:val="002433B3"/>
    <w:rsid w:val="00243753"/>
    <w:rsid w:val="002437AD"/>
    <w:rsid w:val="00243D94"/>
    <w:rsid w:val="00244655"/>
    <w:rsid w:val="00244924"/>
    <w:rsid w:val="002449FD"/>
    <w:rsid w:val="002450BA"/>
    <w:rsid w:val="002452CC"/>
    <w:rsid w:val="0024546A"/>
    <w:rsid w:val="00245515"/>
    <w:rsid w:val="002460A1"/>
    <w:rsid w:val="0024613F"/>
    <w:rsid w:val="00247888"/>
    <w:rsid w:val="002501AC"/>
    <w:rsid w:val="002505F3"/>
    <w:rsid w:val="00250BF3"/>
    <w:rsid w:val="00250E5D"/>
    <w:rsid w:val="00251E7F"/>
    <w:rsid w:val="002541E7"/>
    <w:rsid w:val="0025453F"/>
    <w:rsid w:val="002548CA"/>
    <w:rsid w:val="002579CA"/>
    <w:rsid w:val="0026036A"/>
    <w:rsid w:val="002613FB"/>
    <w:rsid w:val="00261720"/>
    <w:rsid w:val="002622E2"/>
    <w:rsid w:val="00262B70"/>
    <w:rsid w:val="002637D7"/>
    <w:rsid w:val="00263CD5"/>
    <w:rsid w:val="00263F01"/>
    <w:rsid w:val="00263FEF"/>
    <w:rsid w:val="00264026"/>
    <w:rsid w:val="00264111"/>
    <w:rsid w:val="0026691F"/>
    <w:rsid w:val="00266BCB"/>
    <w:rsid w:val="002702B0"/>
    <w:rsid w:val="00270D67"/>
    <w:rsid w:val="00271152"/>
    <w:rsid w:val="002718A3"/>
    <w:rsid w:val="00272974"/>
    <w:rsid w:val="00272F3F"/>
    <w:rsid w:val="002737C1"/>
    <w:rsid w:val="0027397A"/>
    <w:rsid w:val="0027422F"/>
    <w:rsid w:val="002743BC"/>
    <w:rsid w:val="00274433"/>
    <w:rsid w:val="0027509F"/>
    <w:rsid w:val="002751C6"/>
    <w:rsid w:val="0027562B"/>
    <w:rsid w:val="00275AFC"/>
    <w:rsid w:val="00275B22"/>
    <w:rsid w:val="00275CB7"/>
    <w:rsid w:val="00275D80"/>
    <w:rsid w:val="002761D1"/>
    <w:rsid w:val="0027624A"/>
    <w:rsid w:val="0027669D"/>
    <w:rsid w:val="00277112"/>
    <w:rsid w:val="00277636"/>
    <w:rsid w:val="00277A57"/>
    <w:rsid w:val="00280B85"/>
    <w:rsid w:val="00281B3D"/>
    <w:rsid w:val="00281BD5"/>
    <w:rsid w:val="002824C4"/>
    <w:rsid w:val="00282825"/>
    <w:rsid w:val="00282ADA"/>
    <w:rsid w:val="00282DB7"/>
    <w:rsid w:val="00282F7B"/>
    <w:rsid w:val="0028311B"/>
    <w:rsid w:val="0028316C"/>
    <w:rsid w:val="00283AA9"/>
    <w:rsid w:val="00283BB7"/>
    <w:rsid w:val="00283D14"/>
    <w:rsid w:val="00284683"/>
    <w:rsid w:val="00284EC2"/>
    <w:rsid w:val="002853D6"/>
    <w:rsid w:val="00286D27"/>
    <w:rsid w:val="00287C1B"/>
    <w:rsid w:val="00290364"/>
    <w:rsid w:val="00290696"/>
    <w:rsid w:val="00290978"/>
    <w:rsid w:val="0029099F"/>
    <w:rsid w:val="0029109E"/>
    <w:rsid w:val="00291D49"/>
    <w:rsid w:val="002928A6"/>
    <w:rsid w:val="00292C90"/>
    <w:rsid w:val="00293414"/>
    <w:rsid w:val="00293D26"/>
    <w:rsid w:val="0029594C"/>
    <w:rsid w:val="002960CF"/>
    <w:rsid w:val="00296512"/>
    <w:rsid w:val="002976BB"/>
    <w:rsid w:val="00297A0B"/>
    <w:rsid w:val="002A0140"/>
    <w:rsid w:val="002A059E"/>
    <w:rsid w:val="002A07C8"/>
    <w:rsid w:val="002A0F7C"/>
    <w:rsid w:val="002A1839"/>
    <w:rsid w:val="002A1CAB"/>
    <w:rsid w:val="002A2270"/>
    <w:rsid w:val="002A4E72"/>
    <w:rsid w:val="002A5318"/>
    <w:rsid w:val="002A5470"/>
    <w:rsid w:val="002A572A"/>
    <w:rsid w:val="002A5818"/>
    <w:rsid w:val="002A5ACA"/>
    <w:rsid w:val="002A71CA"/>
    <w:rsid w:val="002A7A7B"/>
    <w:rsid w:val="002B09E1"/>
    <w:rsid w:val="002B0A02"/>
    <w:rsid w:val="002B0F06"/>
    <w:rsid w:val="002B19E8"/>
    <w:rsid w:val="002B280F"/>
    <w:rsid w:val="002B42BD"/>
    <w:rsid w:val="002B4B3B"/>
    <w:rsid w:val="002B4ED0"/>
    <w:rsid w:val="002B5720"/>
    <w:rsid w:val="002B57D0"/>
    <w:rsid w:val="002B6472"/>
    <w:rsid w:val="002B6A54"/>
    <w:rsid w:val="002B6DA5"/>
    <w:rsid w:val="002B71A9"/>
    <w:rsid w:val="002B76E3"/>
    <w:rsid w:val="002C0C77"/>
    <w:rsid w:val="002C0DFE"/>
    <w:rsid w:val="002C1DB1"/>
    <w:rsid w:val="002C2367"/>
    <w:rsid w:val="002C2520"/>
    <w:rsid w:val="002C2648"/>
    <w:rsid w:val="002C2860"/>
    <w:rsid w:val="002C2CC3"/>
    <w:rsid w:val="002C3933"/>
    <w:rsid w:val="002C41BC"/>
    <w:rsid w:val="002C4404"/>
    <w:rsid w:val="002C4872"/>
    <w:rsid w:val="002C4CB2"/>
    <w:rsid w:val="002C50F4"/>
    <w:rsid w:val="002C52BD"/>
    <w:rsid w:val="002C5A84"/>
    <w:rsid w:val="002C6FE2"/>
    <w:rsid w:val="002C7B4D"/>
    <w:rsid w:val="002C7EB9"/>
    <w:rsid w:val="002D1752"/>
    <w:rsid w:val="002D1ACA"/>
    <w:rsid w:val="002D21F8"/>
    <w:rsid w:val="002D2A36"/>
    <w:rsid w:val="002D3069"/>
    <w:rsid w:val="002D3639"/>
    <w:rsid w:val="002D3C65"/>
    <w:rsid w:val="002D41E5"/>
    <w:rsid w:val="002D4289"/>
    <w:rsid w:val="002D4A9C"/>
    <w:rsid w:val="002D50A5"/>
    <w:rsid w:val="002D5A84"/>
    <w:rsid w:val="002D5CEE"/>
    <w:rsid w:val="002D64B1"/>
    <w:rsid w:val="002E062E"/>
    <w:rsid w:val="002E0C14"/>
    <w:rsid w:val="002E1907"/>
    <w:rsid w:val="002E1C46"/>
    <w:rsid w:val="002E275F"/>
    <w:rsid w:val="002E43C3"/>
    <w:rsid w:val="002E46B9"/>
    <w:rsid w:val="002E5810"/>
    <w:rsid w:val="002E5912"/>
    <w:rsid w:val="002E599F"/>
    <w:rsid w:val="002E5ACC"/>
    <w:rsid w:val="002E5D92"/>
    <w:rsid w:val="002E7729"/>
    <w:rsid w:val="002F10F0"/>
    <w:rsid w:val="002F1D82"/>
    <w:rsid w:val="002F21A6"/>
    <w:rsid w:val="002F29BB"/>
    <w:rsid w:val="002F2A6A"/>
    <w:rsid w:val="002F36A0"/>
    <w:rsid w:val="002F3830"/>
    <w:rsid w:val="002F3E9C"/>
    <w:rsid w:val="002F490F"/>
    <w:rsid w:val="002F54C7"/>
    <w:rsid w:val="002F630A"/>
    <w:rsid w:val="002F64FB"/>
    <w:rsid w:val="002F6F06"/>
    <w:rsid w:val="002F74AF"/>
    <w:rsid w:val="002F76DF"/>
    <w:rsid w:val="00300CD7"/>
    <w:rsid w:val="0030138D"/>
    <w:rsid w:val="00301876"/>
    <w:rsid w:val="00302DFC"/>
    <w:rsid w:val="00303815"/>
    <w:rsid w:val="00303DF2"/>
    <w:rsid w:val="00304280"/>
    <w:rsid w:val="00304823"/>
    <w:rsid w:val="003056BA"/>
    <w:rsid w:val="0030588D"/>
    <w:rsid w:val="003059DA"/>
    <w:rsid w:val="00306549"/>
    <w:rsid w:val="00306699"/>
    <w:rsid w:val="003077DA"/>
    <w:rsid w:val="00311533"/>
    <w:rsid w:val="0031321D"/>
    <w:rsid w:val="00314FD0"/>
    <w:rsid w:val="00316416"/>
    <w:rsid w:val="003165A8"/>
    <w:rsid w:val="003169C9"/>
    <w:rsid w:val="00316D95"/>
    <w:rsid w:val="00316F29"/>
    <w:rsid w:val="003176B2"/>
    <w:rsid w:val="003178C0"/>
    <w:rsid w:val="003202D0"/>
    <w:rsid w:val="00320D9E"/>
    <w:rsid w:val="0032192E"/>
    <w:rsid w:val="00321DC8"/>
    <w:rsid w:val="00322E2C"/>
    <w:rsid w:val="00323B6E"/>
    <w:rsid w:val="00325450"/>
    <w:rsid w:val="0032608B"/>
    <w:rsid w:val="0032778C"/>
    <w:rsid w:val="0033030B"/>
    <w:rsid w:val="0033080A"/>
    <w:rsid w:val="00331295"/>
    <w:rsid w:val="0033171C"/>
    <w:rsid w:val="00331EB1"/>
    <w:rsid w:val="0033243E"/>
    <w:rsid w:val="00332B58"/>
    <w:rsid w:val="00332C60"/>
    <w:rsid w:val="00332D7B"/>
    <w:rsid w:val="00333199"/>
    <w:rsid w:val="00333D7E"/>
    <w:rsid w:val="003345D7"/>
    <w:rsid w:val="00334DFB"/>
    <w:rsid w:val="00335A91"/>
    <w:rsid w:val="003361C7"/>
    <w:rsid w:val="00337019"/>
    <w:rsid w:val="0033723B"/>
    <w:rsid w:val="00337243"/>
    <w:rsid w:val="003375AC"/>
    <w:rsid w:val="00340237"/>
    <w:rsid w:val="003416E9"/>
    <w:rsid w:val="00341C6C"/>
    <w:rsid w:val="003422DE"/>
    <w:rsid w:val="00344956"/>
    <w:rsid w:val="003455BC"/>
    <w:rsid w:val="00345E9F"/>
    <w:rsid w:val="00346FEC"/>
    <w:rsid w:val="00347570"/>
    <w:rsid w:val="00347B31"/>
    <w:rsid w:val="003514F6"/>
    <w:rsid w:val="00352686"/>
    <w:rsid w:val="00352712"/>
    <w:rsid w:val="00352C42"/>
    <w:rsid w:val="00352EB3"/>
    <w:rsid w:val="00353BD5"/>
    <w:rsid w:val="003541BA"/>
    <w:rsid w:val="00354D60"/>
    <w:rsid w:val="00354E56"/>
    <w:rsid w:val="0035507D"/>
    <w:rsid w:val="00355596"/>
    <w:rsid w:val="00355A63"/>
    <w:rsid w:val="003562F7"/>
    <w:rsid w:val="00361398"/>
    <w:rsid w:val="0036166B"/>
    <w:rsid w:val="003616FF"/>
    <w:rsid w:val="00362002"/>
    <w:rsid w:val="00362031"/>
    <w:rsid w:val="00363043"/>
    <w:rsid w:val="003631F4"/>
    <w:rsid w:val="00363F01"/>
    <w:rsid w:val="0036489D"/>
    <w:rsid w:val="0036539E"/>
    <w:rsid w:val="00366716"/>
    <w:rsid w:val="00366AFF"/>
    <w:rsid w:val="00367E00"/>
    <w:rsid w:val="00371295"/>
    <w:rsid w:val="003721C0"/>
    <w:rsid w:val="003723EA"/>
    <w:rsid w:val="00372446"/>
    <w:rsid w:val="00372896"/>
    <w:rsid w:val="00372CB7"/>
    <w:rsid w:val="00372DBD"/>
    <w:rsid w:val="0037328F"/>
    <w:rsid w:val="00373558"/>
    <w:rsid w:val="0037371A"/>
    <w:rsid w:val="00373BDA"/>
    <w:rsid w:val="003748CA"/>
    <w:rsid w:val="00376D2B"/>
    <w:rsid w:val="00380830"/>
    <w:rsid w:val="00382921"/>
    <w:rsid w:val="00382C05"/>
    <w:rsid w:val="00382CC1"/>
    <w:rsid w:val="003838C7"/>
    <w:rsid w:val="00384084"/>
    <w:rsid w:val="00384D6D"/>
    <w:rsid w:val="00385060"/>
    <w:rsid w:val="0038509F"/>
    <w:rsid w:val="00385FEF"/>
    <w:rsid w:val="003865A6"/>
    <w:rsid w:val="00386785"/>
    <w:rsid w:val="00386DDA"/>
    <w:rsid w:val="0038732D"/>
    <w:rsid w:val="00387825"/>
    <w:rsid w:val="00390C32"/>
    <w:rsid w:val="00390CC8"/>
    <w:rsid w:val="00391456"/>
    <w:rsid w:val="00392578"/>
    <w:rsid w:val="00392D49"/>
    <w:rsid w:val="0039367D"/>
    <w:rsid w:val="003939B4"/>
    <w:rsid w:val="00393BC8"/>
    <w:rsid w:val="003945D5"/>
    <w:rsid w:val="0039463E"/>
    <w:rsid w:val="003946BD"/>
    <w:rsid w:val="0039508D"/>
    <w:rsid w:val="0039513C"/>
    <w:rsid w:val="003955DE"/>
    <w:rsid w:val="00395941"/>
    <w:rsid w:val="0039613A"/>
    <w:rsid w:val="00396189"/>
    <w:rsid w:val="00396909"/>
    <w:rsid w:val="00396C84"/>
    <w:rsid w:val="00396DBA"/>
    <w:rsid w:val="00397124"/>
    <w:rsid w:val="00397352"/>
    <w:rsid w:val="00397B47"/>
    <w:rsid w:val="003A0BB9"/>
    <w:rsid w:val="003A0D44"/>
    <w:rsid w:val="003A1747"/>
    <w:rsid w:val="003A18C2"/>
    <w:rsid w:val="003A1D5A"/>
    <w:rsid w:val="003A2D99"/>
    <w:rsid w:val="003A3444"/>
    <w:rsid w:val="003A42F0"/>
    <w:rsid w:val="003A492A"/>
    <w:rsid w:val="003A5CCA"/>
    <w:rsid w:val="003A63F1"/>
    <w:rsid w:val="003A692F"/>
    <w:rsid w:val="003A6C7B"/>
    <w:rsid w:val="003A6EFE"/>
    <w:rsid w:val="003A7075"/>
    <w:rsid w:val="003A757C"/>
    <w:rsid w:val="003B0EA3"/>
    <w:rsid w:val="003B0F5E"/>
    <w:rsid w:val="003B1FCE"/>
    <w:rsid w:val="003B2891"/>
    <w:rsid w:val="003B2A86"/>
    <w:rsid w:val="003B310A"/>
    <w:rsid w:val="003B3581"/>
    <w:rsid w:val="003B3BF8"/>
    <w:rsid w:val="003B4226"/>
    <w:rsid w:val="003B5A95"/>
    <w:rsid w:val="003B634D"/>
    <w:rsid w:val="003C0EBD"/>
    <w:rsid w:val="003C2182"/>
    <w:rsid w:val="003C2652"/>
    <w:rsid w:val="003C297D"/>
    <w:rsid w:val="003C2BDA"/>
    <w:rsid w:val="003C335C"/>
    <w:rsid w:val="003C36C0"/>
    <w:rsid w:val="003C40EE"/>
    <w:rsid w:val="003C43AF"/>
    <w:rsid w:val="003C463D"/>
    <w:rsid w:val="003C46BA"/>
    <w:rsid w:val="003C48B7"/>
    <w:rsid w:val="003C4A8A"/>
    <w:rsid w:val="003C4BD3"/>
    <w:rsid w:val="003C4FE5"/>
    <w:rsid w:val="003C52A6"/>
    <w:rsid w:val="003C602E"/>
    <w:rsid w:val="003C62B0"/>
    <w:rsid w:val="003C6478"/>
    <w:rsid w:val="003D0262"/>
    <w:rsid w:val="003D1029"/>
    <w:rsid w:val="003D2298"/>
    <w:rsid w:val="003D243E"/>
    <w:rsid w:val="003D2D30"/>
    <w:rsid w:val="003D3ACA"/>
    <w:rsid w:val="003D3ADC"/>
    <w:rsid w:val="003D4165"/>
    <w:rsid w:val="003D4DF3"/>
    <w:rsid w:val="003D5377"/>
    <w:rsid w:val="003D66FF"/>
    <w:rsid w:val="003D6D7B"/>
    <w:rsid w:val="003D70B7"/>
    <w:rsid w:val="003D7C1D"/>
    <w:rsid w:val="003E009D"/>
    <w:rsid w:val="003E0338"/>
    <w:rsid w:val="003E0510"/>
    <w:rsid w:val="003E16A6"/>
    <w:rsid w:val="003E16D5"/>
    <w:rsid w:val="003E1790"/>
    <w:rsid w:val="003E17CC"/>
    <w:rsid w:val="003E27F7"/>
    <w:rsid w:val="003E2E7C"/>
    <w:rsid w:val="003E3BAC"/>
    <w:rsid w:val="003E591C"/>
    <w:rsid w:val="003E6B6F"/>
    <w:rsid w:val="003E723A"/>
    <w:rsid w:val="003E7A74"/>
    <w:rsid w:val="003E7CA6"/>
    <w:rsid w:val="003F2E1C"/>
    <w:rsid w:val="003F3691"/>
    <w:rsid w:val="003F52D1"/>
    <w:rsid w:val="003F624B"/>
    <w:rsid w:val="003F6972"/>
    <w:rsid w:val="003F6D36"/>
    <w:rsid w:val="003F703C"/>
    <w:rsid w:val="003F74E8"/>
    <w:rsid w:val="004006ED"/>
    <w:rsid w:val="00400C30"/>
    <w:rsid w:val="004014E9"/>
    <w:rsid w:val="0040163C"/>
    <w:rsid w:val="00401911"/>
    <w:rsid w:val="00401A8F"/>
    <w:rsid w:val="00401F8F"/>
    <w:rsid w:val="004023F0"/>
    <w:rsid w:val="00402B17"/>
    <w:rsid w:val="00402BC1"/>
    <w:rsid w:val="00402FD9"/>
    <w:rsid w:val="00403D11"/>
    <w:rsid w:val="004043D4"/>
    <w:rsid w:val="00404DD7"/>
    <w:rsid w:val="00404E7C"/>
    <w:rsid w:val="00405004"/>
    <w:rsid w:val="004064A7"/>
    <w:rsid w:val="00407981"/>
    <w:rsid w:val="00411014"/>
    <w:rsid w:val="0041148D"/>
    <w:rsid w:val="00411889"/>
    <w:rsid w:val="004123E2"/>
    <w:rsid w:val="004125DF"/>
    <w:rsid w:val="00412619"/>
    <w:rsid w:val="00412F30"/>
    <w:rsid w:val="0041348C"/>
    <w:rsid w:val="0041363A"/>
    <w:rsid w:val="00413982"/>
    <w:rsid w:val="00414763"/>
    <w:rsid w:val="00414829"/>
    <w:rsid w:val="00414849"/>
    <w:rsid w:val="004148B1"/>
    <w:rsid w:val="00415342"/>
    <w:rsid w:val="0041534E"/>
    <w:rsid w:val="004166E8"/>
    <w:rsid w:val="004166EC"/>
    <w:rsid w:val="00416C68"/>
    <w:rsid w:val="00417130"/>
    <w:rsid w:val="004174BC"/>
    <w:rsid w:val="00417673"/>
    <w:rsid w:val="00420543"/>
    <w:rsid w:val="00420C67"/>
    <w:rsid w:val="004213FB"/>
    <w:rsid w:val="00422542"/>
    <w:rsid w:val="00423A07"/>
    <w:rsid w:val="0042430A"/>
    <w:rsid w:val="00424F84"/>
    <w:rsid w:val="00425230"/>
    <w:rsid w:val="0042528B"/>
    <w:rsid w:val="00425B0C"/>
    <w:rsid w:val="00425C91"/>
    <w:rsid w:val="00426A13"/>
    <w:rsid w:val="00426A50"/>
    <w:rsid w:val="00426F16"/>
    <w:rsid w:val="00426F91"/>
    <w:rsid w:val="00427295"/>
    <w:rsid w:val="004276E1"/>
    <w:rsid w:val="00427A1E"/>
    <w:rsid w:val="00427FDA"/>
    <w:rsid w:val="004304AD"/>
    <w:rsid w:val="00430D12"/>
    <w:rsid w:val="00431BFA"/>
    <w:rsid w:val="00432345"/>
    <w:rsid w:val="004332C3"/>
    <w:rsid w:val="00434B32"/>
    <w:rsid w:val="00434CAF"/>
    <w:rsid w:val="004358F6"/>
    <w:rsid w:val="0043715A"/>
    <w:rsid w:val="004374E1"/>
    <w:rsid w:val="004376F6"/>
    <w:rsid w:val="00437F2B"/>
    <w:rsid w:val="0044048E"/>
    <w:rsid w:val="004406B9"/>
    <w:rsid w:val="004409AD"/>
    <w:rsid w:val="00440E0E"/>
    <w:rsid w:val="00440F98"/>
    <w:rsid w:val="00442D8D"/>
    <w:rsid w:val="00443955"/>
    <w:rsid w:val="00444B2C"/>
    <w:rsid w:val="00445076"/>
    <w:rsid w:val="00445612"/>
    <w:rsid w:val="00446F24"/>
    <w:rsid w:val="00447B77"/>
    <w:rsid w:val="00450E16"/>
    <w:rsid w:val="00451189"/>
    <w:rsid w:val="00452536"/>
    <w:rsid w:val="004527E6"/>
    <w:rsid w:val="00453DD1"/>
    <w:rsid w:val="00453E52"/>
    <w:rsid w:val="004546E8"/>
    <w:rsid w:val="00454B78"/>
    <w:rsid w:val="00455EF0"/>
    <w:rsid w:val="00456B13"/>
    <w:rsid w:val="004573E3"/>
    <w:rsid w:val="00457D06"/>
    <w:rsid w:val="0046041E"/>
    <w:rsid w:val="00461495"/>
    <w:rsid w:val="00461D5E"/>
    <w:rsid w:val="00462A3B"/>
    <w:rsid w:val="00462A3D"/>
    <w:rsid w:val="004630A0"/>
    <w:rsid w:val="0046502B"/>
    <w:rsid w:val="004660D1"/>
    <w:rsid w:val="00467B9C"/>
    <w:rsid w:val="00467C2C"/>
    <w:rsid w:val="00467FE3"/>
    <w:rsid w:val="004714FB"/>
    <w:rsid w:val="00471835"/>
    <w:rsid w:val="00472620"/>
    <w:rsid w:val="00472A87"/>
    <w:rsid w:val="00472ED1"/>
    <w:rsid w:val="0047322F"/>
    <w:rsid w:val="00473672"/>
    <w:rsid w:val="00473F7A"/>
    <w:rsid w:val="00474D94"/>
    <w:rsid w:val="00475481"/>
    <w:rsid w:val="004756D8"/>
    <w:rsid w:val="00475E39"/>
    <w:rsid w:val="00475FB0"/>
    <w:rsid w:val="00476478"/>
    <w:rsid w:val="0047656D"/>
    <w:rsid w:val="00476573"/>
    <w:rsid w:val="004779DA"/>
    <w:rsid w:val="00477ADE"/>
    <w:rsid w:val="004803E4"/>
    <w:rsid w:val="00480DC0"/>
    <w:rsid w:val="0048209F"/>
    <w:rsid w:val="00482290"/>
    <w:rsid w:val="00482649"/>
    <w:rsid w:val="0048283E"/>
    <w:rsid w:val="00482F0F"/>
    <w:rsid w:val="00483111"/>
    <w:rsid w:val="00483CFB"/>
    <w:rsid w:val="00484418"/>
    <w:rsid w:val="00484423"/>
    <w:rsid w:val="00484430"/>
    <w:rsid w:val="00484C16"/>
    <w:rsid w:val="0048509D"/>
    <w:rsid w:val="00485992"/>
    <w:rsid w:val="00485AE6"/>
    <w:rsid w:val="00485D52"/>
    <w:rsid w:val="00485FDD"/>
    <w:rsid w:val="0048741D"/>
    <w:rsid w:val="00487C72"/>
    <w:rsid w:val="00487EC6"/>
    <w:rsid w:val="00490122"/>
    <w:rsid w:val="004904FF"/>
    <w:rsid w:val="00490E3D"/>
    <w:rsid w:val="0049192E"/>
    <w:rsid w:val="00491C54"/>
    <w:rsid w:val="00491DDB"/>
    <w:rsid w:val="00492372"/>
    <w:rsid w:val="004926BF"/>
    <w:rsid w:val="00493048"/>
    <w:rsid w:val="004932E6"/>
    <w:rsid w:val="004933F7"/>
    <w:rsid w:val="00493910"/>
    <w:rsid w:val="004939CD"/>
    <w:rsid w:val="004946DA"/>
    <w:rsid w:val="00494AE8"/>
    <w:rsid w:val="004966BE"/>
    <w:rsid w:val="004967CE"/>
    <w:rsid w:val="0049694F"/>
    <w:rsid w:val="0049721D"/>
    <w:rsid w:val="0049794C"/>
    <w:rsid w:val="00497AA3"/>
    <w:rsid w:val="004A0995"/>
    <w:rsid w:val="004A1177"/>
    <w:rsid w:val="004A11A4"/>
    <w:rsid w:val="004A1B2F"/>
    <w:rsid w:val="004A1B5C"/>
    <w:rsid w:val="004A262F"/>
    <w:rsid w:val="004A26EA"/>
    <w:rsid w:val="004A2E78"/>
    <w:rsid w:val="004A32D6"/>
    <w:rsid w:val="004A3842"/>
    <w:rsid w:val="004A3EF7"/>
    <w:rsid w:val="004A4E54"/>
    <w:rsid w:val="004A546F"/>
    <w:rsid w:val="004A5C78"/>
    <w:rsid w:val="004A5D88"/>
    <w:rsid w:val="004A6199"/>
    <w:rsid w:val="004A63A1"/>
    <w:rsid w:val="004A6CAD"/>
    <w:rsid w:val="004A7F7C"/>
    <w:rsid w:val="004B0976"/>
    <w:rsid w:val="004B163A"/>
    <w:rsid w:val="004B1B97"/>
    <w:rsid w:val="004B272F"/>
    <w:rsid w:val="004B30FF"/>
    <w:rsid w:val="004B4B39"/>
    <w:rsid w:val="004B5297"/>
    <w:rsid w:val="004B5AC4"/>
    <w:rsid w:val="004B7503"/>
    <w:rsid w:val="004B781B"/>
    <w:rsid w:val="004C0D5A"/>
    <w:rsid w:val="004C17FF"/>
    <w:rsid w:val="004C1B6A"/>
    <w:rsid w:val="004C1B6E"/>
    <w:rsid w:val="004C1DB4"/>
    <w:rsid w:val="004C1FCD"/>
    <w:rsid w:val="004C30A7"/>
    <w:rsid w:val="004C3509"/>
    <w:rsid w:val="004C390A"/>
    <w:rsid w:val="004C3D4C"/>
    <w:rsid w:val="004C4683"/>
    <w:rsid w:val="004C4EBB"/>
    <w:rsid w:val="004C596A"/>
    <w:rsid w:val="004C5994"/>
    <w:rsid w:val="004C5D8A"/>
    <w:rsid w:val="004C5F0C"/>
    <w:rsid w:val="004C6431"/>
    <w:rsid w:val="004C65C8"/>
    <w:rsid w:val="004C6CF7"/>
    <w:rsid w:val="004C6E29"/>
    <w:rsid w:val="004C6EB7"/>
    <w:rsid w:val="004C7825"/>
    <w:rsid w:val="004C7AF2"/>
    <w:rsid w:val="004C7D3C"/>
    <w:rsid w:val="004D025E"/>
    <w:rsid w:val="004D0690"/>
    <w:rsid w:val="004D07EE"/>
    <w:rsid w:val="004D1C83"/>
    <w:rsid w:val="004D29E6"/>
    <w:rsid w:val="004D2B44"/>
    <w:rsid w:val="004D3F62"/>
    <w:rsid w:val="004D4381"/>
    <w:rsid w:val="004D4E49"/>
    <w:rsid w:val="004D559A"/>
    <w:rsid w:val="004D5ED4"/>
    <w:rsid w:val="004D6DCB"/>
    <w:rsid w:val="004E0E5D"/>
    <w:rsid w:val="004E1E37"/>
    <w:rsid w:val="004E22F5"/>
    <w:rsid w:val="004E2416"/>
    <w:rsid w:val="004E2633"/>
    <w:rsid w:val="004E26A8"/>
    <w:rsid w:val="004E2BD0"/>
    <w:rsid w:val="004E4387"/>
    <w:rsid w:val="004E43EC"/>
    <w:rsid w:val="004E4A30"/>
    <w:rsid w:val="004E5374"/>
    <w:rsid w:val="004E5476"/>
    <w:rsid w:val="004E55A5"/>
    <w:rsid w:val="004E55C4"/>
    <w:rsid w:val="004E5804"/>
    <w:rsid w:val="004E6504"/>
    <w:rsid w:val="004E6EEE"/>
    <w:rsid w:val="004E77B7"/>
    <w:rsid w:val="004F01A5"/>
    <w:rsid w:val="004F0D5F"/>
    <w:rsid w:val="004F286F"/>
    <w:rsid w:val="004F4574"/>
    <w:rsid w:val="004F47D4"/>
    <w:rsid w:val="004F48AF"/>
    <w:rsid w:val="004F4BF0"/>
    <w:rsid w:val="004F4F34"/>
    <w:rsid w:val="004F5270"/>
    <w:rsid w:val="004F6F8D"/>
    <w:rsid w:val="004F7C4B"/>
    <w:rsid w:val="005013A6"/>
    <w:rsid w:val="0050176C"/>
    <w:rsid w:val="0050270F"/>
    <w:rsid w:val="00503368"/>
    <w:rsid w:val="00503BBA"/>
    <w:rsid w:val="005052BD"/>
    <w:rsid w:val="00505C85"/>
    <w:rsid w:val="00505DBF"/>
    <w:rsid w:val="00506274"/>
    <w:rsid w:val="00506AAA"/>
    <w:rsid w:val="00507095"/>
    <w:rsid w:val="0051030A"/>
    <w:rsid w:val="0051060F"/>
    <w:rsid w:val="00511159"/>
    <w:rsid w:val="0051154F"/>
    <w:rsid w:val="00511631"/>
    <w:rsid w:val="0051315B"/>
    <w:rsid w:val="005144F0"/>
    <w:rsid w:val="00514559"/>
    <w:rsid w:val="00514CCE"/>
    <w:rsid w:val="00515D4E"/>
    <w:rsid w:val="00515D80"/>
    <w:rsid w:val="00516277"/>
    <w:rsid w:val="00516C07"/>
    <w:rsid w:val="00517088"/>
    <w:rsid w:val="00521ABB"/>
    <w:rsid w:val="00521AE6"/>
    <w:rsid w:val="005227FA"/>
    <w:rsid w:val="00523112"/>
    <w:rsid w:val="00523663"/>
    <w:rsid w:val="00524400"/>
    <w:rsid w:val="00524EF9"/>
    <w:rsid w:val="00525CAC"/>
    <w:rsid w:val="00525DB2"/>
    <w:rsid w:val="00526016"/>
    <w:rsid w:val="005260AD"/>
    <w:rsid w:val="00526AB9"/>
    <w:rsid w:val="00526EC3"/>
    <w:rsid w:val="0052715B"/>
    <w:rsid w:val="005273E3"/>
    <w:rsid w:val="00527430"/>
    <w:rsid w:val="0052748F"/>
    <w:rsid w:val="005279E1"/>
    <w:rsid w:val="00527E06"/>
    <w:rsid w:val="00527FC0"/>
    <w:rsid w:val="00530EBD"/>
    <w:rsid w:val="005312E1"/>
    <w:rsid w:val="00531C2D"/>
    <w:rsid w:val="00532186"/>
    <w:rsid w:val="00532533"/>
    <w:rsid w:val="005328FC"/>
    <w:rsid w:val="00532C98"/>
    <w:rsid w:val="0053357B"/>
    <w:rsid w:val="00533771"/>
    <w:rsid w:val="00533991"/>
    <w:rsid w:val="0053454C"/>
    <w:rsid w:val="00535187"/>
    <w:rsid w:val="005352E2"/>
    <w:rsid w:val="005355AB"/>
    <w:rsid w:val="005363CC"/>
    <w:rsid w:val="005363E3"/>
    <w:rsid w:val="005365B3"/>
    <w:rsid w:val="00536625"/>
    <w:rsid w:val="00536666"/>
    <w:rsid w:val="00537687"/>
    <w:rsid w:val="005378B8"/>
    <w:rsid w:val="00540BB2"/>
    <w:rsid w:val="00540C33"/>
    <w:rsid w:val="00540F0A"/>
    <w:rsid w:val="0054171C"/>
    <w:rsid w:val="005417AE"/>
    <w:rsid w:val="00541CEE"/>
    <w:rsid w:val="00541EBB"/>
    <w:rsid w:val="00542306"/>
    <w:rsid w:val="005430C4"/>
    <w:rsid w:val="00543795"/>
    <w:rsid w:val="00543AE3"/>
    <w:rsid w:val="00544C42"/>
    <w:rsid w:val="005451E6"/>
    <w:rsid w:val="0054556B"/>
    <w:rsid w:val="00546085"/>
    <w:rsid w:val="0054638D"/>
    <w:rsid w:val="00546807"/>
    <w:rsid w:val="00547286"/>
    <w:rsid w:val="00547B12"/>
    <w:rsid w:val="005506C1"/>
    <w:rsid w:val="00550F91"/>
    <w:rsid w:val="005517DB"/>
    <w:rsid w:val="005519C6"/>
    <w:rsid w:val="00551F00"/>
    <w:rsid w:val="00552492"/>
    <w:rsid w:val="005527D8"/>
    <w:rsid w:val="00553BC5"/>
    <w:rsid w:val="005542DD"/>
    <w:rsid w:val="00554C33"/>
    <w:rsid w:val="00554C6A"/>
    <w:rsid w:val="00554DD9"/>
    <w:rsid w:val="00556393"/>
    <w:rsid w:val="00556A05"/>
    <w:rsid w:val="005570A9"/>
    <w:rsid w:val="00557218"/>
    <w:rsid w:val="005600AC"/>
    <w:rsid w:val="005602E1"/>
    <w:rsid w:val="0056161C"/>
    <w:rsid w:val="00561955"/>
    <w:rsid w:val="00561DCA"/>
    <w:rsid w:val="0056208D"/>
    <w:rsid w:val="005622D0"/>
    <w:rsid w:val="00562B0C"/>
    <w:rsid w:val="00562F3F"/>
    <w:rsid w:val="00563623"/>
    <w:rsid w:val="00564150"/>
    <w:rsid w:val="00564471"/>
    <w:rsid w:val="00564817"/>
    <w:rsid w:val="00564E04"/>
    <w:rsid w:val="00566FC6"/>
    <w:rsid w:val="00567007"/>
    <w:rsid w:val="00567AEA"/>
    <w:rsid w:val="005723C7"/>
    <w:rsid w:val="00572A96"/>
    <w:rsid w:val="00572ED3"/>
    <w:rsid w:val="005733D6"/>
    <w:rsid w:val="0057369E"/>
    <w:rsid w:val="00573CD2"/>
    <w:rsid w:val="00573D08"/>
    <w:rsid w:val="00574B7C"/>
    <w:rsid w:val="005751F7"/>
    <w:rsid w:val="00575455"/>
    <w:rsid w:val="005758E2"/>
    <w:rsid w:val="00575D98"/>
    <w:rsid w:val="00575E45"/>
    <w:rsid w:val="00580772"/>
    <w:rsid w:val="005825B9"/>
    <w:rsid w:val="0058282D"/>
    <w:rsid w:val="00582D7C"/>
    <w:rsid w:val="0058372E"/>
    <w:rsid w:val="005842EA"/>
    <w:rsid w:val="005846A5"/>
    <w:rsid w:val="00585D8C"/>
    <w:rsid w:val="005861AF"/>
    <w:rsid w:val="00586E6B"/>
    <w:rsid w:val="00587170"/>
    <w:rsid w:val="00587D18"/>
    <w:rsid w:val="005902F6"/>
    <w:rsid w:val="005908E7"/>
    <w:rsid w:val="00590D95"/>
    <w:rsid w:val="005919E1"/>
    <w:rsid w:val="00592092"/>
    <w:rsid w:val="005924C0"/>
    <w:rsid w:val="0059271A"/>
    <w:rsid w:val="00592A40"/>
    <w:rsid w:val="0059360D"/>
    <w:rsid w:val="005936D2"/>
    <w:rsid w:val="005943B8"/>
    <w:rsid w:val="0059454A"/>
    <w:rsid w:val="0059537D"/>
    <w:rsid w:val="00595C89"/>
    <w:rsid w:val="00595EF6"/>
    <w:rsid w:val="00596642"/>
    <w:rsid w:val="00596C47"/>
    <w:rsid w:val="005971C6"/>
    <w:rsid w:val="005972C0"/>
    <w:rsid w:val="00597723"/>
    <w:rsid w:val="005A0395"/>
    <w:rsid w:val="005A0E84"/>
    <w:rsid w:val="005A1944"/>
    <w:rsid w:val="005A1C48"/>
    <w:rsid w:val="005A232C"/>
    <w:rsid w:val="005A2C1B"/>
    <w:rsid w:val="005A2DD6"/>
    <w:rsid w:val="005A3C34"/>
    <w:rsid w:val="005A3D5D"/>
    <w:rsid w:val="005A401E"/>
    <w:rsid w:val="005A4208"/>
    <w:rsid w:val="005A47B5"/>
    <w:rsid w:val="005A5244"/>
    <w:rsid w:val="005A52B8"/>
    <w:rsid w:val="005A56E2"/>
    <w:rsid w:val="005A5D7E"/>
    <w:rsid w:val="005A6A60"/>
    <w:rsid w:val="005A6DEA"/>
    <w:rsid w:val="005A6EF3"/>
    <w:rsid w:val="005A6F39"/>
    <w:rsid w:val="005A7913"/>
    <w:rsid w:val="005B1269"/>
    <w:rsid w:val="005B145D"/>
    <w:rsid w:val="005B293C"/>
    <w:rsid w:val="005B29EB"/>
    <w:rsid w:val="005B4472"/>
    <w:rsid w:val="005B536D"/>
    <w:rsid w:val="005B6210"/>
    <w:rsid w:val="005B6C12"/>
    <w:rsid w:val="005B6ECE"/>
    <w:rsid w:val="005B7D1B"/>
    <w:rsid w:val="005B7EAC"/>
    <w:rsid w:val="005C0607"/>
    <w:rsid w:val="005C0BB5"/>
    <w:rsid w:val="005C3C57"/>
    <w:rsid w:val="005C45A1"/>
    <w:rsid w:val="005C533F"/>
    <w:rsid w:val="005C5462"/>
    <w:rsid w:val="005C5A95"/>
    <w:rsid w:val="005C5F66"/>
    <w:rsid w:val="005C6535"/>
    <w:rsid w:val="005C7FEA"/>
    <w:rsid w:val="005D0061"/>
    <w:rsid w:val="005D0D1C"/>
    <w:rsid w:val="005D1CA7"/>
    <w:rsid w:val="005D1F9A"/>
    <w:rsid w:val="005D21BF"/>
    <w:rsid w:val="005D236E"/>
    <w:rsid w:val="005D24FA"/>
    <w:rsid w:val="005D28AE"/>
    <w:rsid w:val="005D2A2E"/>
    <w:rsid w:val="005D2B11"/>
    <w:rsid w:val="005D2C66"/>
    <w:rsid w:val="005D3802"/>
    <w:rsid w:val="005D386C"/>
    <w:rsid w:val="005D38E1"/>
    <w:rsid w:val="005D3A23"/>
    <w:rsid w:val="005D3B89"/>
    <w:rsid w:val="005D3E80"/>
    <w:rsid w:val="005D4111"/>
    <w:rsid w:val="005D43A6"/>
    <w:rsid w:val="005D4445"/>
    <w:rsid w:val="005D462F"/>
    <w:rsid w:val="005D486D"/>
    <w:rsid w:val="005D4BE5"/>
    <w:rsid w:val="005D5E41"/>
    <w:rsid w:val="005D6142"/>
    <w:rsid w:val="005D6FDD"/>
    <w:rsid w:val="005D7516"/>
    <w:rsid w:val="005E0DD0"/>
    <w:rsid w:val="005E1DFA"/>
    <w:rsid w:val="005E207F"/>
    <w:rsid w:val="005E20C8"/>
    <w:rsid w:val="005E350E"/>
    <w:rsid w:val="005E3DA7"/>
    <w:rsid w:val="005E3E58"/>
    <w:rsid w:val="005E3EEE"/>
    <w:rsid w:val="005E4EC9"/>
    <w:rsid w:val="005E53B7"/>
    <w:rsid w:val="005E59C7"/>
    <w:rsid w:val="005E5EE2"/>
    <w:rsid w:val="005E6BAA"/>
    <w:rsid w:val="005E73F5"/>
    <w:rsid w:val="005E750A"/>
    <w:rsid w:val="005E762C"/>
    <w:rsid w:val="005F06D3"/>
    <w:rsid w:val="005F1F3A"/>
    <w:rsid w:val="005F1F69"/>
    <w:rsid w:val="005F308C"/>
    <w:rsid w:val="005F3806"/>
    <w:rsid w:val="005F3A5E"/>
    <w:rsid w:val="005F4276"/>
    <w:rsid w:val="005F4D15"/>
    <w:rsid w:val="005F554D"/>
    <w:rsid w:val="005F62B0"/>
    <w:rsid w:val="005F63B2"/>
    <w:rsid w:val="005F6767"/>
    <w:rsid w:val="005F68DE"/>
    <w:rsid w:val="005F6CC0"/>
    <w:rsid w:val="005F79A8"/>
    <w:rsid w:val="00600BCC"/>
    <w:rsid w:val="00601499"/>
    <w:rsid w:val="00602527"/>
    <w:rsid w:val="00602580"/>
    <w:rsid w:val="006035EF"/>
    <w:rsid w:val="0060377D"/>
    <w:rsid w:val="00603C09"/>
    <w:rsid w:val="006047B7"/>
    <w:rsid w:val="00605973"/>
    <w:rsid w:val="00605A84"/>
    <w:rsid w:val="00605ECE"/>
    <w:rsid w:val="00606458"/>
    <w:rsid w:val="00607609"/>
    <w:rsid w:val="00610015"/>
    <w:rsid w:val="006102D1"/>
    <w:rsid w:val="00611D18"/>
    <w:rsid w:val="00611F5F"/>
    <w:rsid w:val="0061257E"/>
    <w:rsid w:val="00612D91"/>
    <w:rsid w:val="00613E52"/>
    <w:rsid w:val="00615CFB"/>
    <w:rsid w:val="006168DD"/>
    <w:rsid w:val="00617CBA"/>
    <w:rsid w:val="006201F1"/>
    <w:rsid w:val="00621A25"/>
    <w:rsid w:val="0062274F"/>
    <w:rsid w:val="00622A2E"/>
    <w:rsid w:val="00622A54"/>
    <w:rsid w:val="00623753"/>
    <w:rsid w:val="00623E91"/>
    <w:rsid w:val="00624A9B"/>
    <w:rsid w:val="0062682D"/>
    <w:rsid w:val="00626CD2"/>
    <w:rsid w:val="006275E1"/>
    <w:rsid w:val="006303BE"/>
    <w:rsid w:val="00630655"/>
    <w:rsid w:val="00630869"/>
    <w:rsid w:val="006308F2"/>
    <w:rsid w:val="00630E1A"/>
    <w:rsid w:val="00631A23"/>
    <w:rsid w:val="006326B9"/>
    <w:rsid w:val="00633CDA"/>
    <w:rsid w:val="006347AE"/>
    <w:rsid w:val="00634C89"/>
    <w:rsid w:val="00634F4F"/>
    <w:rsid w:val="00635002"/>
    <w:rsid w:val="006351A7"/>
    <w:rsid w:val="00636960"/>
    <w:rsid w:val="00636FF6"/>
    <w:rsid w:val="006370FA"/>
    <w:rsid w:val="00637373"/>
    <w:rsid w:val="006373A1"/>
    <w:rsid w:val="00637F8F"/>
    <w:rsid w:val="006407EF"/>
    <w:rsid w:val="00640C4D"/>
    <w:rsid w:val="006410E0"/>
    <w:rsid w:val="006412B7"/>
    <w:rsid w:val="00641773"/>
    <w:rsid w:val="006422C7"/>
    <w:rsid w:val="006422C8"/>
    <w:rsid w:val="00642321"/>
    <w:rsid w:val="00642E12"/>
    <w:rsid w:val="00642EC9"/>
    <w:rsid w:val="00642FAD"/>
    <w:rsid w:val="0064364D"/>
    <w:rsid w:val="006446CF"/>
    <w:rsid w:val="00644836"/>
    <w:rsid w:val="00644CFC"/>
    <w:rsid w:val="00644DC3"/>
    <w:rsid w:val="00645FE5"/>
    <w:rsid w:val="00646568"/>
    <w:rsid w:val="00646724"/>
    <w:rsid w:val="0064691F"/>
    <w:rsid w:val="00646E1A"/>
    <w:rsid w:val="00646F22"/>
    <w:rsid w:val="0064773A"/>
    <w:rsid w:val="006500A5"/>
    <w:rsid w:val="00650886"/>
    <w:rsid w:val="00651AE4"/>
    <w:rsid w:val="00651B00"/>
    <w:rsid w:val="00651C0E"/>
    <w:rsid w:val="00652067"/>
    <w:rsid w:val="00653A94"/>
    <w:rsid w:val="00653AA4"/>
    <w:rsid w:val="006544EB"/>
    <w:rsid w:val="00654BCB"/>
    <w:rsid w:val="00654E8F"/>
    <w:rsid w:val="006553A3"/>
    <w:rsid w:val="00655670"/>
    <w:rsid w:val="00656941"/>
    <w:rsid w:val="00656AC0"/>
    <w:rsid w:val="00656F02"/>
    <w:rsid w:val="00657A2C"/>
    <w:rsid w:val="00657E5C"/>
    <w:rsid w:val="006600E4"/>
    <w:rsid w:val="00662303"/>
    <w:rsid w:val="00662AC9"/>
    <w:rsid w:val="00662CE0"/>
    <w:rsid w:val="0066303C"/>
    <w:rsid w:val="00663287"/>
    <w:rsid w:val="006637DB"/>
    <w:rsid w:val="006639CB"/>
    <w:rsid w:val="00664178"/>
    <w:rsid w:val="00664479"/>
    <w:rsid w:val="00664538"/>
    <w:rsid w:val="00664833"/>
    <w:rsid w:val="00664CA7"/>
    <w:rsid w:val="00665102"/>
    <w:rsid w:val="00665A7E"/>
    <w:rsid w:val="00665C31"/>
    <w:rsid w:val="00666162"/>
    <w:rsid w:val="00666257"/>
    <w:rsid w:val="00666B53"/>
    <w:rsid w:val="006672D5"/>
    <w:rsid w:val="0066735C"/>
    <w:rsid w:val="00667B63"/>
    <w:rsid w:val="0067044E"/>
    <w:rsid w:val="006717D2"/>
    <w:rsid w:val="00673C88"/>
    <w:rsid w:val="00674473"/>
    <w:rsid w:val="00674D8F"/>
    <w:rsid w:val="006752D7"/>
    <w:rsid w:val="0067598F"/>
    <w:rsid w:val="00675AED"/>
    <w:rsid w:val="00675F54"/>
    <w:rsid w:val="00676031"/>
    <w:rsid w:val="0067673B"/>
    <w:rsid w:val="00676C13"/>
    <w:rsid w:val="00676DEA"/>
    <w:rsid w:val="0067763E"/>
    <w:rsid w:val="00677A18"/>
    <w:rsid w:val="00677B26"/>
    <w:rsid w:val="006819D1"/>
    <w:rsid w:val="0068251E"/>
    <w:rsid w:val="00682D54"/>
    <w:rsid w:val="00682ECC"/>
    <w:rsid w:val="006832AB"/>
    <w:rsid w:val="006838B1"/>
    <w:rsid w:val="006841CA"/>
    <w:rsid w:val="006844B6"/>
    <w:rsid w:val="00684B65"/>
    <w:rsid w:val="006857CB"/>
    <w:rsid w:val="00686836"/>
    <w:rsid w:val="00686D59"/>
    <w:rsid w:val="006870A8"/>
    <w:rsid w:val="00687724"/>
    <w:rsid w:val="0068782E"/>
    <w:rsid w:val="00690741"/>
    <w:rsid w:val="006915DB"/>
    <w:rsid w:val="00691B35"/>
    <w:rsid w:val="00691CAC"/>
    <w:rsid w:val="00692E71"/>
    <w:rsid w:val="0069369A"/>
    <w:rsid w:val="006936D2"/>
    <w:rsid w:val="00694702"/>
    <w:rsid w:val="006949AD"/>
    <w:rsid w:val="00694DEF"/>
    <w:rsid w:val="00694F67"/>
    <w:rsid w:val="00694F77"/>
    <w:rsid w:val="006953BE"/>
    <w:rsid w:val="00695791"/>
    <w:rsid w:val="006967B0"/>
    <w:rsid w:val="006971E4"/>
    <w:rsid w:val="00697297"/>
    <w:rsid w:val="00697303"/>
    <w:rsid w:val="006A02BC"/>
    <w:rsid w:val="006A0317"/>
    <w:rsid w:val="006A0890"/>
    <w:rsid w:val="006A0CA7"/>
    <w:rsid w:val="006A15EF"/>
    <w:rsid w:val="006A16C9"/>
    <w:rsid w:val="006A18E8"/>
    <w:rsid w:val="006A24C1"/>
    <w:rsid w:val="006A2553"/>
    <w:rsid w:val="006A2C59"/>
    <w:rsid w:val="006A2CA7"/>
    <w:rsid w:val="006A2D06"/>
    <w:rsid w:val="006A3691"/>
    <w:rsid w:val="006A43E5"/>
    <w:rsid w:val="006A5B33"/>
    <w:rsid w:val="006A5FD2"/>
    <w:rsid w:val="006A60D2"/>
    <w:rsid w:val="006A6166"/>
    <w:rsid w:val="006A6380"/>
    <w:rsid w:val="006A6BF7"/>
    <w:rsid w:val="006A717D"/>
    <w:rsid w:val="006A77F5"/>
    <w:rsid w:val="006B02E1"/>
    <w:rsid w:val="006B0566"/>
    <w:rsid w:val="006B183C"/>
    <w:rsid w:val="006B2307"/>
    <w:rsid w:val="006B2970"/>
    <w:rsid w:val="006B2AA9"/>
    <w:rsid w:val="006B2DB8"/>
    <w:rsid w:val="006B337A"/>
    <w:rsid w:val="006B34BC"/>
    <w:rsid w:val="006B3BB9"/>
    <w:rsid w:val="006B5029"/>
    <w:rsid w:val="006B5C8D"/>
    <w:rsid w:val="006B6639"/>
    <w:rsid w:val="006B7350"/>
    <w:rsid w:val="006B7F7B"/>
    <w:rsid w:val="006C04A6"/>
    <w:rsid w:val="006C0CDD"/>
    <w:rsid w:val="006C0EB4"/>
    <w:rsid w:val="006C10F7"/>
    <w:rsid w:val="006C25A9"/>
    <w:rsid w:val="006C2768"/>
    <w:rsid w:val="006C3256"/>
    <w:rsid w:val="006C40D6"/>
    <w:rsid w:val="006C4E20"/>
    <w:rsid w:val="006C4E42"/>
    <w:rsid w:val="006C524D"/>
    <w:rsid w:val="006C6A70"/>
    <w:rsid w:val="006C6F99"/>
    <w:rsid w:val="006C73B5"/>
    <w:rsid w:val="006C7554"/>
    <w:rsid w:val="006C7F77"/>
    <w:rsid w:val="006D0FA3"/>
    <w:rsid w:val="006D1367"/>
    <w:rsid w:val="006D1BB9"/>
    <w:rsid w:val="006D2157"/>
    <w:rsid w:val="006D23E6"/>
    <w:rsid w:val="006D2DAE"/>
    <w:rsid w:val="006D356B"/>
    <w:rsid w:val="006D3EA2"/>
    <w:rsid w:val="006D4015"/>
    <w:rsid w:val="006D42E1"/>
    <w:rsid w:val="006D42FE"/>
    <w:rsid w:val="006D517A"/>
    <w:rsid w:val="006D5848"/>
    <w:rsid w:val="006D6788"/>
    <w:rsid w:val="006D6AEF"/>
    <w:rsid w:val="006D7EB6"/>
    <w:rsid w:val="006E3C01"/>
    <w:rsid w:val="006E432B"/>
    <w:rsid w:val="006E4610"/>
    <w:rsid w:val="006E49AB"/>
    <w:rsid w:val="006E5239"/>
    <w:rsid w:val="006E5F5E"/>
    <w:rsid w:val="006E6139"/>
    <w:rsid w:val="006E64D8"/>
    <w:rsid w:val="006E6C6C"/>
    <w:rsid w:val="006E71BD"/>
    <w:rsid w:val="006E7262"/>
    <w:rsid w:val="006F0CD9"/>
    <w:rsid w:val="006F1008"/>
    <w:rsid w:val="006F1010"/>
    <w:rsid w:val="006F1169"/>
    <w:rsid w:val="006F1811"/>
    <w:rsid w:val="006F3A6E"/>
    <w:rsid w:val="006F5270"/>
    <w:rsid w:val="006F58F5"/>
    <w:rsid w:val="006F6775"/>
    <w:rsid w:val="006F6B00"/>
    <w:rsid w:val="006F74A9"/>
    <w:rsid w:val="006F75A7"/>
    <w:rsid w:val="006F76F9"/>
    <w:rsid w:val="006F7726"/>
    <w:rsid w:val="006F777E"/>
    <w:rsid w:val="006F7EA3"/>
    <w:rsid w:val="00700B55"/>
    <w:rsid w:val="00700E0F"/>
    <w:rsid w:val="00701180"/>
    <w:rsid w:val="00701BB4"/>
    <w:rsid w:val="00701EC1"/>
    <w:rsid w:val="00702F85"/>
    <w:rsid w:val="0070377B"/>
    <w:rsid w:val="007039C5"/>
    <w:rsid w:val="00703FAC"/>
    <w:rsid w:val="007040CB"/>
    <w:rsid w:val="007043EF"/>
    <w:rsid w:val="00704793"/>
    <w:rsid w:val="00704D85"/>
    <w:rsid w:val="00705075"/>
    <w:rsid w:val="00705568"/>
    <w:rsid w:val="0070649A"/>
    <w:rsid w:val="00706735"/>
    <w:rsid w:val="00706C62"/>
    <w:rsid w:val="0070710D"/>
    <w:rsid w:val="00707B6C"/>
    <w:rsid w:val="007124DB"/>
    <w:rsid w:val="0071590E"/>
    <w:rsid w:val="007168E5"/>
    <w:rsid w:val="00716A76"/>
    <w:rsid w:val="00716DE8"/>
    <w:rsid w:val="00717304"/>
    <w:rsid w:val="007205B2"/>
    <w:rsid w:val="00720CA1"/>
    <w:rsid w:val="0072223A"/>
    <w:rsid w:val="00722C1D"/>
    <w:rsid w:val="00722C73"/>
    <w:rsid w:val="00722DA3"/>
    <w:rsid w:val="00723830"/>
    <w:rsid w:val="00723A7D"/>
    <w:rsid w:val="007244AD"/>
    <w:rsid w:val="0072469E"/>
    <w:rsid w:val="00724775"/>
    <w:rsid w:val="00725F67"/>
    <w:rsid w:val="00726F9C"/>
    <w:rsid w:val="00727AFB"/>
    <w:rsid w:val="00730172"/>
    <w:rsid w:val="007301D1"/>
    <w:rsid w:val="00731E03"/>
    <w:rsid w:val="00732119"/>
    <w:rsid w:val="00733D08"/>
    <w:rsid w:val="00733E89"/>
    <w:rsid w:val="0073502C"/>
    <w:rsid w:val="0073579E"/>
    <w:rsid w:val="0073631F"/>
    <w:rsid w:val="007365E4"/>
    <w:rsid w:val="007371E6"/>
    <w:rsid w:val="00737B31"/>
    <w:rsid w:val="00740474"/>
    <w:rsid w:val="00740E0B"/>
    <w:rsid w:val="00740E6F"/>
    <w:rsid w:val="00740F6D"/>
    <w:rsid w:val="00741A45"/>
    <w:rsid w:val="00742861"/>
    <w:rsid w:val="00742FE7"/>
    <w:rsid w:val="0074311A"/>
    <w:rsid w:val="00743456"/>
    <w:rsid w:val="0074350F"/>
    <w:rsid w:val="00743782"/>
    <w:rsid w:val="00743D1B"/>
    <w:rsid w:val="00744AEF"/>
    <w:rsid w:val="007453E7"/>
    <w:rsid w:val="007461ED"/>
    <w:rsid w:val="0074793A"/>
    <w:rsid w:val="00751286"/>
    <w:rsid w:val="0075187C"/>
    <w:rsid w:val="00751988"/>
    <w:rsid w:val="00751BAC"/>
    <w:rsid w:val="0075277A"/>
    <w:rsid w:val="00752944"/>
    <w:rsid w:val="00752A3E"/>
    <w:rsid w:val="00753B93"/>
    <w:rsid w:val="00753E85"/>
    <w:rsid w:val="007544C7"/>
    <w:rsid w:val="007557AD"/>
    <w:rsid w:val="0075586F"/>
    <w:rsid w:val="00755DB8"/>
    <w:rsid w:val="0075600F"/>
    <w:rsid w:val="00756381"/>
    <w:rsid w:val="00756444"/>
    <w:rsid w:val="00760365"/>
    <w:rsid w:val="0076056F"/>
    <w:rsid w:val="00760F32"/>
    <w:rsid w:val="00760FEF"/>
    <w:rsid w:val="0076195F"/>
    <w:rsid w:val="007619E2"/>
    <w:rsid w:val="00761EB3"/>
    <w:rsid w:val="00762255"/>
    <w:rsid w:val="00762466"/>
    <w:rsid w:val="007628ED"/>
    <w:rsid w:val="007647D8"/>
    <w:rsid w:val="00764A33"/>
    <w:rsid w:val="00764AB7"/>
    <w:rsid w:val="0076548E"/>
    <w:rsid w:val="00765FA5"/>
    <w:rsid w:val="007678D2"/>
    <w:rsid w:val="007703D3"/>
    <w:rsid w:val="00770E6D"/>
    <w:rsid w:val="00770F82"/>
    <w:rsid w:val="00771290"/>
    <w:rsid w:val="007714A4"/>
    <w:rsid w:val="00771655"/>
    <w:rsid w:val="007719FF"/>
    <w:rsid w:val="00771A30"/>
    <w:rsid w:val="00772CB4"/>
    <w:rsid w:val="0077388B"/>
    <w:rsid w:val="00773D53"/>
    <w:rsid w:val="00773F25"/>
    <w:rsid w:val="007744C9"/>
    <w:rsid w:val="00774984"/>
    <w:rsid w:val="00774FD5"/>
    <w:rsid w:val="0077518A"/>
    <w:rsid w:val="00776235"/>
    <w:rsid w:val="007773CC"/>
    <w:rsid w:val="00777498"/>
    <w:rsid w:val="00777753"/>
    <w:rsid w:val="00777F01"/>
    <w:rsid w:val="00780058"/>
    <w:rsid w:val="0078020C"/>
    <w:rsid w:val="00780D89"/>
    <w:rsid w:val="0078170F"/>
    <w:rsid w:val="00781B70"/>
    <w:rsid w:val="00782E26"/>
    <w:rsid w:val="007835CF"/>
    <w:rsid w:val="00783E91"/>
    <w:rsid w:val="00785828"/>
    <w:rsid w:val="00785EBC"/>
    <w:rsid w:val="007861F4"/>
    <w:rsid w:val="007864D8"/>
    <w:rsid w:val="0078694B"/>
    <w:rsid w:val="007872FB"/>
    <w:rsid w:val="00787B29"/>
    <w:rsid w:val="00790084"/>
    <w:rsid w:val="007902F1"/>
    <w:rsid w:val="00790411"/>
    <w:rsid w:val="00790432"/>
    <w:rsid w:val="00791095"/>
    <w:rsid w:val="00791BCC"/>
    <w:rsid w:val="007923D1"/>
    <w:rsid w:val="00792E36"/>
    <w:rsid w:val="007932FD"/>
    <w:rsid w:val="00793620"/>
    <w:rsid w:val="0079377D"/>
    <w:rsid w:val="00794CFC"/>
    <w:rsid w:val="00794E96"/>
    <w:rsid w:val="00794EA4"/>
    <w:rsid w:val="0079501D"/>
    <w:rsid w:val="00796D39"/>
    <w:rsid w:val="00796FA4"/>
    <w:rsid w:val="0079771E"/>
    <w:rsid w:val="007A0AAB"/>
    <w:rsid w:val="007A0BCB"/>
    <w:rsid w:val="007A1545"/>
    <w:rsid w:val="007A2B67"/>
    <w:rsid w:val="007A3A35"/>
    <w:rsid w:val="007A3D18"/>
    <w:rsid w:val="007A40D2"/>
    <w:rsid w:val="007A4AC1"/>
    <w:rsid w:val="007A5072"/>
    <w:rsid w:val="007A53EE"/>
    <w:rsid w:val="007A73AC"/>
    <w:rsid w:val="007B0738"/>
    <w:rsid w:val="007B0CEF"/>
    <w:rsid w:val="007B1AFF"/>
    <w:rsid w:val="007B20C6"/>
    <w:rsid w:val="007B2EEF"/>
    <w:rsid w:val="007B3260"/>
    <w:rsid w:val="007B33BE"/>
    <w:rsid w:val="007B3923"/>
    <w:rsid w:val="007B4C0E"/>
    <w:rsid w:val="007B53D1"/>
    <w:rsid w:val="007B54E0"/>
    <w:rsid w:val="007B670C"/>
    <w:rsid w:val="007B698F"/>
    <w:rsid w:val="007B7804"/>
    <w:rsid w:val="007C0370"/>
    <w:rsid w:val="007C049F"/>
    <w:rsid w:val="007C0BAC"/>
    <w:rsid w:val="007C182C"/>
    <w:rsid w:val="007C1F14"/>
    <w:rsid w:val="007C286D"/>
    <w:rsid w:val="007C44AE"/>
    <w:rsid w:val="007C55CA"/>
    <w:rsid w:val="007C5D7F"/>
    <w:rsid w:val="007C6574"/>
    <w:rsid w:val="007C6D61"/>
    <w:rsid w:val="007C70D1"/>
    <w:rsid w:val="007C7457"/>
    <w:rsid w:val="007D2477"/>
    <w:rsid w:val="007D30F3"/>
    <w:rsid w:val="007D311D"/>
    <w:rsid w:val="007D3168"/>
    <w:rsid w:val="007D38CF"/>
    <w:rsid w:val="007D3961"/>
    <w:rsid w:val="007D4526"/>
    <w:rsid w:val="007D4B80"/>
    <w:rsid w:val="007D4C2A"/>
    <w:rsid w:val="007D5365"/>
    <w:rsid w:val="007D5749"/>
    <w:rsid w:val="007D6671"/>
    <w:rsid w:val="007D71D7"/>
    <w:rsid w:val="007D7275"/>
    <w:rsid w:val="007E2E85"/>
    <w:rsid w:val="007E344C"/>
    <w:rsid w:val="007E4378"/>
    <w:rsid w:val="007E491F"/>
    <w:rsid w:val="007E50EE"/>
    <w:rsid w:val="007E55DB"/>
    <w:rsid w:val="007E5851"/>
    <w:rsid w:val="007E5E19"/>
    <w:rsid w:val="007E69EB"/>
    <w:rsid w:val="007E6C1D"/>
    <w:rsid w:val="007E6DCF"/>
    <w:rsid w:val="007E771E"/>
    <w:rsid w:val="007E7BCB"/>
    <w:rsid w:val="007E7D10"/>
    <w:rsid w:val="007F1B2E"/>
    <w:rsid w:val="007F2794"/>
    <w:rsid w:val="007F3285"/>
    <w:rsid w:val="007F34D9"/>
    <w:rsid w:val="007F3C7D"/>
    <w:rsid w:val="007F3F7D"/>
    <w:rsid w:val="007F46FB"/>
    <w:rsid w:val="0080076D"/>
    <w:rsid w:val="00800CF5"/>
    <w:rsid w:val="0080130C"/>
    <w:rsid w:val="00801C51"/>
    <w:rsid w:val="0080220C"/>
    <w:rsid w:val="008022D0"/>
    <w:rsid w:val="008027B8"/>
    <w:rsid w:val="00802D27"/>
    <w:rsid w:val="00803FBE"/>
    <w:rsid w:val="008041FF"/>
    <w:rsid w:val="00804772"/>
    <w:rsid w:val="00804C89"/>
    <w:rsid w:val="00805862"/>
    <w:rsid w:val="008059C9"/>
    <w:rsid w:val="008061AD"/>
    <w:rsid w:val="00806422"/>
    <w:rsid w:val="008067C8"/>
    <w:rsid w:val="00806AA5"/>
    <w:rsid w:val="0080758C"/>
    <w:rsid w:val="00807A8B"/>
    <w:rsid w:val="00807EEA"/>
    <w:rsid w:val="00807F85"/>
    <w:rsid w:val="00807FE9"/>
    <w:rsid w:val="00810E3D"/>
    <w:rsid w:val="008110CE"/>
    <w:rsid w:val="008113E4"/>
    <w:rsid w:val="00811DB4"/>
    <w:rsid w:val="008127D9"/>
    <w:rsid w:val="00813328"/>
    <w:rsid w:val="0081383E"/>
    <w:rsid w:val="0081423D"/>
    <w:rsid w:val="00814DFB"/>
    <w:rsid w:val="00815438"/>
    <w:rsid w:val="00815838"/>
    <w:rsid w:val="00815E90"/>
    <w:rsid w:val="00816536"/>
    <w:rsid w:val="00817568"/>
    <w:rsid w:val="00817C6D"/>
    <w:rsid w:val="00820BC5"/>
    <w:rsid w:val="00822253"/>
    <w:rsid w:val="00823494"/>
    <w:rsid w:val="008244D2"/>
    <w:rsid w:val="00824E9E"/>
    <w:rsid w:val="008254E1"/>
    <w:rsid w:val="0082591F"/>
    <w:rsid w:val="00825D30"/>
    <w:rsid w:val="00826868"/>
    <w:rsid w:val="00826B1F"/>
    <w:rsid w:val="008301FC"/>
    <w:rsid w:val="00830E91"/>
    <w:rsid w:val="00831300"/>
    <w:rsid w:val="0083206F"/>
    <w:rsid w:val="00832377"/>
    <w:rsid w:val="0083273B"/>
    <w:rsid w:val="008335E2"/>
    <w:rsid w:val="00834094"/>
    <w:rsid w:val="008344E1"/>
    <w:rsid w:val="008347DB"/>
    <w:rsid w:val="008348B6"/>
    <w:rsid w:val="00834A65"/>
    <w:rsid w:val="008352D2"/>
    <w:rsid w:val="0083545E"/>
    <w:rsid w:val="00835544"/>
    <w:rsid w:val="0083597E"/>
    <w:rsid w:val="0083678C"/>
    <w:rsid w:val="0083712C"/>
    <w:rsid w:val="00837B34"/>
    <w:rsid w:val="0083C5AC"/>
    <w:rsid w:val="008412A8"/>
    <w:rsid w:val="00841BAD"/>
    <w:rsid w:val="0084245A"/>
    <w:rsid w:val="008425F0"/>
    <w:rsid w:val="00842CA2"/>
    <w:rsid w:val="008431A0"/>
    <w:rsid w:val="0084387B"/>
    <w:rsid w:val="00843B98"/>
    <w:rsid w:val="00844B16"/>
    <w:rsid w:val="00844EFD"/>
    <w:rsid w:val="008453D7"/>
    <w:rsid w:val="008454F2"/>
    <w:rsid w:val="00845D4F"/>
    <w:rsid w:val="0084654D"/>
    <w:rsid w:val="008473A2"/>
    <w:rsid w:val="008474EC"/>
    <w:rsid w:val="00847D7A"/>
    <w:rsid w:val="00850503"/>
    <w:rsid w:val="00850593"/>
    <w:rsid w:val="00851210"/>
    <w:rsid w:val="0085152A"/>
    <w:rsid w:val="00851817"/>
    <w:rsid w:val="00851C6D"/>
    <w:rsid w:val="00851EB6"/>
    <w:rsid w:val="0085230A"/>
    <w:rsid w:val="0085238C"/>
    <w:rsid w:val="00853A8E"/>
    <w:rsid w:val="0085448A"/>
    <w:rsid w:val="0085460A"/>
    <w:rsid w:val="0085496A"/>
    <w:rsid w:val="008549AF"/>
    <w:rsid w:val="008556A6"/>
    <w:rsid w:val="00855F7A"/>
    <w:rsid w:val="008560B0"/>
    <w:rsid w:val="00856637"/>
    <w:rsid w:val="0085689E"/>
    <w:rsid w:val="00857159"/>
    <w:rsid w:val="0085718E"/>
    <w:rsid w:val="0085723B"/>
    <w:rsid w:val="00860373"/>
    <w:rsid w:val="00861713"/>
    <w:rsid w:val="00861849"/>
    <w:rsid w:val="008618C0"/>
    <w:rsid w:val="008618F9"/>
    <w:rsid w:val="00863078"/>
    <w:rsid w:val="00863408"/>
    <w:rsid w:val="00863FC0"/>
    <w:rsid w:val="008650F3"/>
    <w:rsid w:val="00865D5D"/>
    <w:rsid w:val="00865FB7"/>
    <w:rsid w:val="008662B7"/>
    <w:rsid w:val="008663BF"/>
    <w:rsid w:val="00866B24"/>
    <w:rsid w:val="008673C7"/>
    <w:rsid w:val="00867484"/>
    <w:rsid w:val="00867538"/>
    <w:rsid w:val="00867A19"/>
    <w:rsid w:val="00867AE5"/>
    <w:rsid w:val="0087006F"/>
    <w:rsid w:val="0087043B"/>
    <w:rsid w:val="00870E8C"/>
    <w:rsid w:val="00871078"/>
    <w:rsid w:val="00871338"/>
    <w:rsid w:val="00871A6B"/>
    <w:rsid w:val="0087218E"/>
    <w:rsid w:val="00872B6A"/>
    <w:rsid w:val="00873B23"/>
    <w:rsid w:val="0087452C"/>
    <w:rsid w:val="008745BD"/>
    <w:rsid w:val="008749EC"/>
    <w:rsid w:val="00875546"/>
    <w:rsid w:val="00875BEE"/>
    <w:rsid w:val="008764A9"/>
    <w:rsid w:val="008769FC"/>
    <w:rsid w:val="00876E2C"/>
    <w:rsid w:val="008771A5"/>
    <w:rsid w:val="008777D7"/>
    <w:rsid w:val="00880194"/>
    <w:rsid w:val="008801B5"/>
    <w:rsid w:val="00881274"/>
    <w:rsid w:val="008812CD"/>
    <w:rsid w:val="0088149A"/>
    <w:rsid w:val="0088182A"/>
    <w:rsid w:val="00881DE6"/>
    <w:rsid w:val="00881F8A"/>
    <w:rsid w:val="00882473"/>
    <w:rsid w:val="00882857"/>
    <w:rsid w:val="00882E31"/>
    <w:rsid w:val="00883D78"/>
    <w:rsid w:val="00884197"/>
    <w:rsid w:val="00884D79"/>
    <w:rsid w:val="00884DDD"/>
    <w:rsid w:val="008855C7"/>
    <w:rsid w:val="00885D12"/>
    <w:rsid w:val="00886806"/>
    <w:rsid w:val="00886D72"/>
    <w:rsid w:val="0088719B"/>
    <w:rsid w:val="00887295"/>
    <w:rsid w:val="00887A97"/>
    <w:rsid w:val="008900AE"/>
    <w:rsid w:val="00890228"/>
    <w:rsid w:val="008908B6"/>
    <w:rsid w:val="00890A3A"/>
    <w:rsid w:val="008917F6"/>
    <w:rsid w:val="008919D0"/>
    <w:rsid w:val="00892618"/>
    <w:rsid w:val="00892CA8"/>
    <w:rsid w:val="008937AD"/>
    <w:rsid w:val="00893A2B"/>
    <w:rsid w:val="00893FC1"/>
    <w:rsid w:val="00895C33"/>
    <w:rsid w:val="00895F72"/>
    <w:rsid w:val="00895FE3"/>
    <w:rsid w:val="0089644B"/>
    <w:rsid w:val="00896ADF"/>
    <w:rsid w:val="00897BE1"/>
    <w:rsid w:val="008A0428"/>
    <w:rsid w:val="008A1BCF"/>
    <w:rsid w:val="008A2227"/>
    <w:rsid w:val="008A3DD9"/>
    <w:rsid w:val="008A40F2"/>
    <w:rsid w:val="008A604B"/>
    <w:rsid w:val="008A69AC"/>
    <w:rsid w:val="008A6E65"/>
    <w:rsid w:val="008A7501"/>
    <w:rsid w:val="008A7E95"/>
    <w:rsid w:val="008A7F05"/>
    <w:rsid w:val="008B0396"/>
    <w:rsid w:val="008B0A8B"/>
    <w:rsid w:val="008B2CAD"/>
    <w:rsid w:val="008B2D9E"/>
    <w:rsid w:val="008B3820"/>
    <w:rsid w:val="008B4118"/>
    <w:rsid w:val="008B53D8"/>
    <w:rsid w:val="008B5432"/>
    <w:rsid w:val="008B5B25"/>
    <w:rsid w:val="008B697F"/>
    <w:rsid w:val="008B6C03"/>
    <w:rsid w:val="008B73CB"/>
    <w:rsid w:val="008C05DC"/>
    <w:rsid w:val="008C13BD"/>
    <w:rsid w:val="008C14B2"/>
    <w:rsid w:val="008C1869"/>
    <w:rsid w:val="008C1F42"/>
    <w:rsid w:val="008C31C5"/>
    <w:rsid w:val="008C32B2"/>
    <w:rsid w:val="008C3366"/>
    <w:rsid w:val="008C3C50"/>
    <w:rsid w:val="008C4778"/>
    <w:rsid w:val="008C50E7"/>
    <w:rsid w:val="008C53A8"/>
    <w:rsid w:val="008C5C29"/>
    <w:rsid w:val="008C61B7"/>
    <w:rsid w:val="008C63E4"/>
    <w:rsid w:val="008C6B4C"/>
    <w:rsid w:val="008C6C4A"/>
    <w:rsid w:val="008D0F95"/>
    <w:rsid w:val="008D1AA1"/>
    <w:rsid w:val="008D2114"/>
    <w:rsid w:val="008D2398"/>
    <w:rsid w:val="008D4690"/>
    <w:rsid w:val="008D4D54"/>
    <w:rsid w:val="008D4FBB"/>
    <w:rsid w:val="008D7C46"/>
    <w:rsid w:val="008E0B49"/>
    <w:rsid w:val="008E0FA3"/>
    <w:rsid w:val="008E1D71"/>
    <w:rsid w:val="008E1E88"/>
    <w:rsid w:val="008E2B72"/>
    <w:rsid w:val="008E333B"/>
    <w:rsid w:val="008E33B6"/>
    <w:rsid w:val="008E3C0A"/>
    <w:rsid w:val="008E4905"/>
    <w:rsid w:val="008E52C1"/>
    <w:rsid w:val="008E5A2A"/>
    <w:rsid w:val="008E70EE"/>
    <w:rsid w:val="008E729A"/>
    <w:rsid w:val="008E7BBD"/>
    <w:rsid w:val="008E7BCA"/>
    <w:rsid w:val="008E7C31"/>
    <w:rsid w:val="008F089A"/>
    <w:rsid w:val="008F1A12"/>
    <w:rsid w:val="008F2A31"/>
    <w:rsid w:val="008F3158"/>
    <w:rsid w:val="008F320C"/>
    <w:rsid w:val="008F4111"/>
    <w:rsid w:val="008F611D"/>
    <w:rsid w:val="008F66E1"/>
    <w:rsid w:val="008F675A"/>
    <w:rsid w:val="008F79FA"/>
    <w:rsid w:val="00900215"/>
    <w:rsid w:val="00900967"/>
    <w:rsid w:val="009010AC"/>
    <w:rsid w:val="00901184"/>
    <w:rsid w:val="00901263"/>
    <w:rsid w:val="00901BC0"/>
    <w:rsid w:val="00902367"/>
    <w:rsid w:val="009024F8"/>
    <w:rsid w:val="009027CC"/>
    <w:rsid w:val="00902EF1"/>
    <w:rsid w:val="009039C0"/>
    <w:rsid w:val="00903BB3"/>
    <w:rsid w:val="00903DD7"/>
    <w:rsid w:val="009047C7"/>
    <w:rsid w:val="009049EB"/>
    <w:rsid w:val="00904A6B"/>
    <w:rsid w:val="00905145"/>
    <w:rsid w:val="009056FD"/>
    <w:rsid w:val="009061F8"/>
    <w:rsid w:val="00906E1D"/>
    <w:rsid w:val="009077D3"/>
    <w:rsid w:val="00907BD3"/>
    <w:rsid w:val="009102F6"/>
    <w:rsid w:val="0091048C"/>
    <w:rsid w:val="00910E11"/>
    <w:rsid w:val="00911E42"/>
    <w:rsid w:val="009121A7"/>
    <w:rsid w:val="009136DF"/>
    <w:rsid w:val="00913835"/>
    <w:rsid w:val="00913A26"/>
    <w:rsid w:val="0091426B"/>
    <w:rsid w:val="009151CD"/>
    <w:rsid w:val="009170C2"/>
    <w:rsid w:val="009170EA"/>
    <w:rsid w:val="00917BA5"/>
    <w:rsid w:val="00921143"/>
    <w:rsid w:val="00922B8B"/>
    <w:rsid w:val="009234C3"/>
    <w:rsid w:val="0092448D"/>
    <w:rsid w:val="009247CA"/>
    <w:rsid w:val="00924850"/>
    <w:rsid w:val="00924898"/>
    <w:rsid w:val="00924E91"/>
    <w:rsid w:val="00925EC2"/>
    <w:rsid w:val="00925F53"/>
    <w:rsid w:val="0092603E"/>
    <w:rsid w:val="00926638"/>
    <w:rsid w:val="009266CD"/>
    <w:rsid w:val="009269B7"/>
    <w:rsid w:val="009275AA"/>
    <w:rsid w:val="0092764A"/>
    <w:rsid w:val="00927711"/>
    <w:rsid w:val="00927FF5"/>
    <w:rsid w:val="00930327"/>
    <w:rsid w:val="00930D32"/>
    <w:rsid w:val="00931159"/>
    <w:rsid w:val="00931981"/>
    <w:rsid w:val="0093199B"/>
    <w:rsid w:val="009321B7"/>
    <w:rsid w:val="0093288A"/>
    <w:rsid w:val="00932C46"/>
    <w:rsid w:val="00933423"/>
    <w:rsid w:val="00933E1D"/>
    <w:rsid w:val="009349FF"/>
    <w:rsid w:val="00935827"/>
    <w:rsid w:val="00937FA2"/>
    <w:rsid w:val="00940863"/>
    <w:rsid w:val="0094092B"/>
    <w:rsid w:val="009409CE"/>
    <w:rsid w:val="0094182F"/>
    <w:rsid w:val="00941C4C"/>
    <w:rsid w:val="009421CD"/>
    <w:rsid w:val="009429B6"/>
    <w:rsid w:val="00943CA2"/>
    <w:rsid w:val="0094409A"/>
    <w:rsid w:val="0094420C"/>
    <w:rsid w:val="00944276"/>
    <w:rsid w:val="00945818"/>
    <w:rsid w:val="009459AF"/>
    <w:rsid w:val="00945ADA"/>
    <w:rsid w:val="00946206"/>
    <w:rsid w:val="00946B53"/>
    <w:rsid w:val="00946BC5"/>
    <w:rsid w:val="009470F5"/>
    <w:rsid w:val="00947AE8"/>
    <w:rsid w:val="00950574"/>
    <w:rsid w:val="0095084E"/>
    <w:rsid w:val="00950A97"/>
    <w:rsid w:val="00950D51"/>
    <w:rsid w:val="0095149B"/>
    <w:rsid w:val="009517B4"/>
    <w:rsid w:val="00951AC7"/>
    <w:rsid w:val="009535A5"/>
    <w:rsid w:val="009539ED"/>
    <w:rsid w:val="00953DEB"/>
    <w:rsid w:val="009565AA"/>
    <w:rsid w:val="009600CE"/>
    <w:rsid w:val="009607BE"/>
    <w:rsid w:val="00960BB4"/>
    <w:rsid w:val="00960E04"/>
    <w:rsid w:val="0096147E"/>
    <w:rsid w:val="00961899"/>
    <w:rsid w:val="00962351"/>
    <w:rsid w:val="00962433"/>
    <w:rsid w:val="00962CEE"/>
    <w:rsid w:val="00963162"/>
    <w:rsid w:val="00963D2F"/>
    <w:rsid w:val="009647A0"/>
    <w:rsid w:val="00965CEA"/>
    <w:rsid w:val="0096626C"/>
    <w:rsid w:val="00966587"/>
    <w:rsid w:val="009669F3"/>
    <w:rsid w:val="0096713C"/>
    <w:rsid w:val="00967BB7"/>
    <w:rsid w:val="00967E58"/>
    <w:rsid w:val="00970135"/>
    <w:rsid w:val="00971732"/>
    <w:rsid w:val="00971BBE"/>
    <w:rsid w:val="009720C7"/>
    <w:rsid w:val="0097266F"/>
    <w:rsid w:val="009739C1"/>
    <w:rsid w:val="00973C9B"/>
    <w:rsid w:val="009742B6"/>
    <w:rsid w:val="00974C5C"/>
    <w:rsid w:val="009760FF"/>
    <w:rsid w:val="009761B9"/>
    <w:rsid w:val="009761C7"/>
    <w:rsid w:val="0097669C"/>
    <w:rsid w:val="00976869"/>
    <w:rsid w:val="00977269"/>
    <w:rsid w:val="0097747E"/>
    <w:rsid w:val="00977494"/>
    <w:rsid w:val="00977CC3"/>
    <w:rsid w:val="00977EBC"/>
    <w:rsid w:val="00980128"/>
    <w:rsid w:val="0098033A"/>
    <w:rsid w:val="0098047B"/>
    <w:rsid w:val="009804F1"/>
    <w:rsid w:val="0098182D"/>
    <w:rsid w:val="00981D26"/>
    <w:rsid w:val="009824DE"/>
    <w:rsid w:val="00983F58"/>
    <w:rsid w:val="009841C6"/>
    <w:rsid w:val="00984A9F"/>
    <w:rsid w:val="00984B83"/>
    <w:rsid w:val="009851C6"/>
    <w:rsid w:val="009851D5"/>
    <w:rsid w:val="0098544C"/>
    <w:rsid w:val="00985947"/>
    <w:rsid w:val="009866A0"/>
    <w:rsid w:val="0098747D"/>
    <w:rsid w:val="00987796"/>
    <w:rsid w:val="00990944"/>
    <w:rsid w:val="00990AF1"/>
    <w:rsid w:val="00991564"/>
    <w:rsid w:val="009916A5"/>
    <w:rsid w:val="00991E8A"/>
    <w:rsid w:val="009920AE"/>
    <w:rsid w:val="00992334"/>
    <w:rsid w:val="009938D9"/>
    <w:rsid w:val="00993DCC"/>
    <w:rsid w:val="0099428B"/>
    <w:rsid w:val="009942DE"/>
    <w:rsid w:val="009948B7"/>
    <w:rsid w:val="0099519F"/>
    <w:rsid w:val="00995224"/>
    <w:rsid w:val="009959B5"/>
    <w:rsid w:val="00995FA8"/>
    <w:rsid w:val="0099775F"/>
    <w:rsid w:val="00997AC5"/>
    <w:rsid w:val="009A0104"/>
    <w:rsid w:val="009A0C8D"/>
    <w:rsid w:val="009A0DC9"/>
    <w:rsid w:val="009A1688"/>
    <w:rsid w:val="009A2A47"/>
    <w:rsid w:val="009A3FC3"/>
    <w:rsid w:val="009A46F3"/>
    <w:rsid w:val="009A4869"/>
    <w:rsid w:val="009A4F1D"/>
    <w:rsid w:val="009A4F3F"/>
    <w:rsid w:val="009A5E34"/>
    <w:rsid w:val="009A62D0"/>
    <w:rsid w:val="009A67E8"/>
    <w:rsid w:val="009A68AE"/>
    <w:rsid w:val="009A6DFF"/>
    <w:rsid w:val="009A73BE"/>
    <w:rsid w:val="009A7559"/>
    <w:rsid w:val="009A7580"/>
    <w:rsid w:val="009A7AEA"/>
    <w:rsid w:val="009A7CF8"/>
    <w:rsid w:val="009B1B7F"/>
    <w:rsid w:val="009B1E5D"/>
    <w:rsid w:val="009B1FE2"/>
    <w:rsid w:val="009B25F4"/>
    <w:rsid w:val="009B434D"/>
    <w:rsid w:val="009B64FC"/>
    <w:rsid w:val="009B677C"/>
    <w:rsid w:val="009C14A8"/>
    <w:rsid w:val="009C16EE"/>
    <w:rsid w:val="009C16F1"/>
    <w:rsid w:val="009C235B"/>
    <w:rsid w:val="009C2C14"/>
    <w:rsid w:val="009C3478"/>
    <w:rsid w:val="009C3CA0"/>
    <w:rsid w:val="009C41E7"/>
    <w:rsid w:val="009C4E35"/>
    <w:rsid w:val="009C50D1"/>
    <w:rsid w:val="009C5640"/>
    <w:rsid w:val="009C5C76"/>
    <w:rsid w:val="009C7376"/>
    <w:rsid w:val="009D0602"/>
    <w:rsid w:val="009D0ABB"/>
    <w:rsid w:val="009D0CC1"/>
    <w:rsid w:val="009D11E8"/>
    <w:rsid w:val="009D16DE"/>
    <w:rsid w:val="009D1B42"/>
    <w:rsid w:val="009D23E2"/>
    <w:rsid w:val="009D27EE"/>
    <w:rsid w:val="009D38F7"/>
    <w:rsid w:val="009D4D4F"/>
    <w:rsid w:val="009D50A5"/>
    <w:rsid w:val="009D56C3"/>
    <w:rsid w:val="009D5E19"/>
    <w:rsid w:val="009D7D85"/>
    <w:rsid w:val="009D7EC6"/>
    <w:rsid w:val="009E15F9"/>
    <w:rsid w:val="009E19D4"/>
    <w:rsid w:val="009E1C2B"/>
    <w:rsid w:val="009E1D32"/>
    <w:rsid w:val="009E2378"/>
    <w:rsid w:val="009E2704"/>
    <w:rsid w:val="009E28D0"/>
    <w:rsid w:val="009E2DB5"/>
    <w:rsid w:val="009E37F3"/>
    <w:rsid w:val="009E397D"/>
    <w:rsid w:val="009E39BA"/>
    <w:rsid w:val="009E3F6A"/>
    <w:rsid w:val="009E4831"/>
    <w:rsid w:val="009E56E0"/>
    <w:rsid w:val="009E6349"/>
    <w:rsid w:val="009E6F8D"/>
    <w:rsid w:val="009E7954"/>
    <w:rsid w:val="009E7DBE"/>
    <w:rsid w:val="009F07C2"/>
    <w:rsid w:val="009F082E"/>
    <w:rsid w:val="009F13E6"/>
    <w:rsid w:val="009F1AA0"/>
    <w:rsid w:val="009F2298"/>
    <w:rsid w:val="009F383A"/>
    <w:rsid w:val="009F3890"/>
    <w:rsid w:val="009F39B9"/>
    <w:rsid w:val="009F402C"/>
    <w:rsid w:val="009F69BD"/>
    <w:rsid w:val="009F6B34"/>
    <w:rsid w:val="009F70D6"/>
    <w:rsid w:val="009F71B8"/>
    <w:rsid w:val="009F72E5"/>
    <w:rsid w:val="00A003F9"/>
    <w:rsid w:val="00A0063C"/>
    <w:rsid w:val="00A0078F"/>
    <w:rsid w:val="00A00DD7"/>
    <w:rsid w:val="00A02CF8"/>
    <w:rsid w:val="00A0355F"/>
    <w:rsid w:val="00A03FE4"/>
    <w:rsid w:val="00A04C21"/>
    <w:rsid w:val="00A04ED8"/>
    <w:rsid w:val="00A05793"/>
    <w:rsid w:val="00A05FC5"/>
    <w:rsid w:val="00A060CD"/>
    <w:rsid w:val="00A061DA"/>
    <w:rsid w:val="00A0664D"/>
    <w:rsid w:val="00A06B65"/>
    <w:rsid w:val="00A07033"/>
    <w:rsid w:val="00A07665"/>
    <w:rsid w:val="00A10729"/>
    <w:rsid w:val="00A10EB7"/>
    <w:rsid w:val="00A10F1E"/>
    <w:rsid w:val="00A1133A"/>
    <w:rsid w:val="00A116E0"/>
    <w:rsid w:val="00A12123"/>
    <w:rsid w:val="00A1277B"/>
    <w:rsid w:val="00A13D68"/>
    <w:rsid w:val="00A13D8F"/>
    <w:rsid w:val="00A13DD5"/>
    <w:rsid w:val="00A13F7A"/>
    <w:rsid w:val="00A159C3"/>
    <w:rsid w:val="00A16D93"/>
    <w:rsid w:val="00A17C25"/>
    <w:rsid w:val="00A17CE3"/>
    <w:rsid w:val="00A17F36"/>
    <w:rsid w:val="00A200E4"/>
    <w:rsid w:val="00A2052E"/>
    <w:rsid w:val="00A20775"/>
    <w:rsid w:val="00A20819"/>
    <w:rsid w:val="00A2088F"/>
    <w:rsid w:val="00A219EF"/>
    <w:rsid w:val="00A221F0"/>
    <w:rsid w:val="00A22395"/>
    <w:rsid w:val="00A22588"/>
    <w:rsid w:val="00A239CF"/>
    <w:rsid w:val="00A23B62"/>
    <w:rsid w:val="00A23B7E"/>
    <w:rsid w:val="00A23BDA"/>
    <w:rsid w:val="00A23F81"/>
    <w:rsid w:val="00A24333"/>
    <w:rsid w:val="00A24A9F"/>
    <w:rsid w:val="00A24B15"/>
    <w:rsid w:val="00A24B33"/>
    <w:rsid w:val="00A26E8C"/>
    <w:rsid w:val="00A271C9"/>
    <w:rsid w:val="00A2725B"/>
    <w:rsid w:val="00A27476"/>
    <w:rsid w:val="00A30D45"/>
    <w:rsid w:val="00A3156A"/>
    <w:rsid w:val="00A31ADB"/>
    <w:rsid w:val="00A31FB4"/>
    <w:rsid w:val="00A324F4"/>
    <w:rsid w:val="00A32FDC"/>
    <w:rsid w:val="00A33171"/>
    <w:rsid w:val="00A34CC5"/>
    <w:rsid w:val="00A3530A"/>
    <w:rsid w:val="00A353FE"/>
    <w:rsid w:val="00A3580D"/>
    <w:rsid w:val="00A35EEC"/>
    <w:rsid w:val="00A36304"/>
    <w:rsid w:val="00A36F37"/>
    <w:rsid w:val="00A3727E"/>
    <w:rsid w:val="00A3783E"/>
    <w:rsid w:val="00A40A59"/>
    <w:rsid w:val="00A410BB"/>
    <w:rsid w:val="00A412CA"/>
    <w:rsid w:val="00A41453"/>
    <w:rsid w:val="00A414B8"/>
    <w:rsid w:val="00A414DB"/>
    <w:rsid w:val="00A41E17"/>
    <w:rsid w:val="00A42600"/>
    <w:rsid w:val="00A42CC6"/>
    <w:rsid w:val="00A43A43"/>
    <w:rsid w:val="00A44C1A"/>
    <w:rsid w:val="00A4586A"/>
    <w:rsid w:val="00A467E8"/>
    <w:rsid w:val="00A46DFD"/>
    <w:rsid w:val="00A4747B"/>
    <w:rsid w:val="00A47C6C"/>
    <w:rsid w:val="00A50A03"/>
    <w:rsid w:val="00A50BC0"/>
    <w:rsid w:val="00A50FD7"/>
    <w:rsid w:val="00A511FE"/>
    <w:rsid w:val="00A5183D"/>
    <w:rsid w:val="00A51C72"/>
    <w:rsid w:val="00A52D84"/>
    <w:rsid w:val="00A52F67"/>
    <w:rsid w:val="00A531AD"/>
    <w:rsid w:val="00A53BAC"/>
    <w:rsid w:val="00A53F8A"/>
    <w:rsid w:val="00A54040"/>
    <w:rsid w:val="00A54567"/>
    <w:rsid w:val="00A54C17"/>
    <w:rsid w:val="00A553CF"/>
    <w:rsid w:val="00A556F6"/>
    <w:rsid w:val="00A55ADB"/>
    <w:rsid w:val="00A5606B"/>
    <w:rsid w:val="00A56082"/>
    <w:rsid w:val="00A562F8"/>
    <w:rsid w:val="00A56AB9"/>
    <w:rsid w:val="00A60786"/>
    <w:rsid w:val="00A608DA"/>
    <w:rsid w:val="00A60A78"/>
    <w:rsid w:val="00A60F64"/>
    <w:rsid w:val="00A61137"/>
    <w:rsid w:val="00A61667"/>
    <w:rsid w:val="00A62383"/>
    <w:rsid w:val="00A628AF"/>
    <w:rsid w:val="00A64582"/>
    <w:rsid w:val="00A652E0"/>
    <w:rsid w:val="00A65610"/>
    <w:rsid w:val="00A65A92"/>
    <w:rsid w:val="00A70610"/>
    <w:rsid w:val="00A7086C"/>
    <w:rsid w:val="00A70E45"/>
    <w:rsid w:val="00A71053"/>
    <w:rsid w:val="00A7129B"/>
    <w:rsid w:val="00A7132F"/>
    <w:rsid w:val="00A72102"/>
    <w:rsid w:val="00A73545"/>
    <w:rsid w:val="00A73A75"/>
    <w:rsid w:val="00A76374"/>
    <w:rsid w:val="00A76606"/>
    <w:rsid w:val="00A76654"/>
    <w:rsid w:val="00A7679F"/>
    <w:rsid w:val="00A76988"/>
    <w:rsid w:val="00A76B31"/>
    <w:rsid w:val="00A772F2"/>
    <w:rsid w:val="00A776B4"/>
    <w:rsid w:val="00A80A41"/>
    <w:rsid w:val="00A80CF6"/>
    <w:rsid w:val="00A810E9"/>
    <w:rsid w:val="00A816CB"/>
    <w:rsid w:val="00A8203C"/>
    <w:rsid w:val="00A8204F"/>
    <w:rsid w:val="00A82110"/>
    <w:rsid w:val="00A825B7"/>
    <w:rsid w:val="00A82645"/>
    <w:rsid w:val="00A82881"/>
    <w:rsid w:val="00A82B17"/>
    <w:rsid w:val="00A82D5C"/>
    <w:rsid w:val="00A83F79"/>
    <w:rsid w:val="00A848B1"/>
    <w:rsid w:val="00A85E69"/>
    <w:rsid w:val="00A85F91"/>
    <w:rsid w:val="00A86102"/>
    <w:rsid w:val="00A863AD"/>
    <w:rsid w:val="00A8672D"/>
    <w:rsid w:val="00A90593"/>
    <w:rsid w:val="00A90804"/>
    <w:rsid w:val="00A91087"/>
    <w:rsid w:val="00A91E34"/>
    <w:rsid w:val="00A9228D"/>
    <w:rsid w:val="00A92D4F"/>
    <w:rsid w:val="00A93171"/>
    <w:rsid w:val="00A93BC7"/>
    <w:rsid w:val="00A94483"/>
    <w:rsid w:val="00A947AB"/>
    <w:rsid w:val="00A95E71"/>
    <w:rsid w:val="00A96110"/>
    <w:rsid w:val="00A969B3"/>
    <w:rsid w:val="00A97C9C"/>
    <w:rsid w:val="00AA06C0"/>
    <w:rsid w:val="00AA0F2E"/>
    <w:rsid w:val="00AA1A09"/>
    <w:rsid w:val="00AA1A44"/>
    <w:rsid w:val="00AA2041"/>
    <w:rsid w:val="00AA2AD8"/>
    <w:rsid w:val="00AA2B9E"/>
    <w:rsid w:val="00AA371A"/>
    <w:rsid w:val="00AA3E3A"/>
    <w:rsid w:val="00AA3FB2"/>
    <w:rsid w:val="00AA4DCA"/>
    <w:rsid w:val="00AA5DF2"/>
    <w:rsid w:val="00AA5E3E"/>
    <w:rsid w:val="00AA5F2F"/>
    <w:rsid w:val="00AA642A"/>
    <w:rsid w:val="00AA66BE"/>
    <w:rsid w:val="00AA6BF6"/>
    <w:rsid w:val="00AA73C2"/>
    <w:rsid w:val="00AA79C7"/>
    <w:rsid w:val="00AA7F96"/>
    <w:rsid w:val="00AB10B0"/>
    <w:rsid w:val="00AB2660"/>
    <w:rsid w:val="00AB273E"/>
    <w:rsid w:val="00AB295A"/>
    <w:rsid w:val="00AB342F"/>
    <w:rsid w:val="00AB3FB0"/>
    <w:rsid w:val="00AB4BE1"/>
    <w:rsid w:val="00AB4FC5"/>
    <w:rsid w:val="00AB5B16"/>
    <w:rsid w:val="00AB5EB4"/>
    <w:rsid w:val="00AB60F2"/>
    <w:rsid w:val="00AB6A23"/>
    <w:rsid w:val="00AB6C3D"/>
    <w:rsid w:val="00AB6CAD"/>
    <w:rsid w:val="00AB748F"/>
    <w:rsid w:val="00AC04DA"/>
    <w:rsid w:val="00AC09C4"/>
    <w:rsid w:val="00AC27BA"/>
    <w:rsid w:val="00AC2B88"/>
    <w:rsid w:val="00AC300A"/>
    <w:rsid w:val="00AC3286"/>
    <w:rsid w:val="00AC35E1"/>
    <w:rsid w:val="00AC3860"/>
    <w:rsid w:val="00AC387E"/>
    <w:rsid w:val="00AC417E"/>
    <w:rsid w:val="00AC418A"/>
    <w:rsid w:val="00AC511F"/>
    <w:rsid w:val="00AC5D07"/>
    <w:rsid w:val="00AC6753"/>
    <w:rsid w:val="00AC6D45"/>
    <w:rsid w:val="00AC6F7C"/>
    <w:rsid w:val="00AC709E"/>
    <w:rsid w:val="00AC7121"/>
    <w:rsid w:val="00AC7574"/>
    <w:rsid w:val="00AC7F8D"/>
    <w:rsid w:val="00AD029D"/>
    <w:rsid w:val="00AD17C7"/>
    <w:rsid w:val="00AD2EE3"/>
    <w:rsid w:val="00AD3CDE"/>
    <w:rsid w:val="00AD41CC"/>
    <w:rsid w:val="00AD562D"/>
    <w:rsid w:val="00AD6279"/>
    <w:rsid w:val="00AD62A5"/>
    <w:rsid w:val="00AD65FD"/>
    <w:rsid w:val="00AD77AF"/>
    <w:rsid w:val="00AE067F"/>
    <w:rsid w:val="00AE0CCA"/>
    <w:rsid w:val="00AE141D"/>
    <w:rsid w:val="00AE291F"/>
    <w:rsid w:val="00AE30A6"/>
    <w:rsid w:val="00AE353E"/>
    <w:rsid w:val="00AE36A8"/>
    <w:rsid w:val="00AE36B1"/>
    <w:rsid w:val="00AE3AD1"/>
    <w:rsid w:val="00AE41E1"/>
    <w:rsid w:val="00AE4A4A"/>
    <w:rsid w:val="00AE4E55"/>
    <w:rsid w:val="00AE4F7E"/>
    <w:rsid w:val="00AE6E1C"/>
    <w:rsid w:val="00AE720C"/>
    <w:rsid w:val="00AE77FE"/>
    <w:rsid w:val="00AF019B"/>
    <w:rsid w:val="00AF082A"/>
    <w:rsid w:val="00AF0952"/>
    <w:rsid w:val="00AF0B8A"/>
    <w:rsid w:val="00AF1888"/>
    <w:rsid w:val="00AF191D"/>
    <w:rsid w:val="00AF20A3"/>
    <w:rsid w:val="00AF253B"/>
    <w:rsid w:val="00AF36D0"/>
    <w:rsid w:val="00AF385A"/>
    <w:rsid w:val="00AF5102"/>
    <w:rsid w:val="00AF51D4"/>
    <w:rsid w:val="00AF6A38"/>
    <w:rsid w:val="00AF7153"/>
    <w:rsid w:val="00AF73EB"/>
    <w:rsid w:val="00AF77B3"/>
    <w:rsid w:val="00AF7884"/>
    <w:rsid w:val="00B00295"/>
    <w:rsid w:val="00B00F44"/>
    <w:rsid w:val="00B01063"/>
    <w:rsid w:val="00B01853"/>
    <w:rsid w:val="00B0275B"/>
    <w:rsid w:val="00B02879"/>
    <w:rsid w:val="00B03084"/>
    <w:rsid w:val="00B03271"/>
    <w:rsid w:val="00B0458C"/>
    <w:rsid w:val="00B04638"/>
    <w:rsid w:val="00B04A8C"/>
    <w:rsid w:val="00B0502D"/>
    <w:rsid w:val="00B061D5"/>
    <w:rsid w:val="00B0624F"/>
    <w:rsid w:val="00B06B23"/>
    <w:rsid w:val="00B0748D"/>
    <w:rsid w:val="00B07B40"/>
    <w:rsid w:val="00B10110"/>
    <w:rsid w:val="00B10652"/>
    <w:rsid w:val="00B10D60"/>
    <w:rsid w:val="00B11168"/>
    <w:rsid w:val="00B113F9"/>
    <w:rsid w:val="00B1185D"/>
    <w:rsid w:val="00B11A98"/>
    <w:rsid w:val="00B12186"/>
    <w:rsid w:val="00B14005"/>
    <w:rsid w:val="00B156DF"/>
    <w:rsid w:val="00B15C95"/>
    <w:rsid w:val="00B163C0"/>
    <w:rsid w:val="00B16D12"/>
    <w:rsid w:val="00B175C7"/>
    <w:rsid w:val="00B228B5"/>
    <w:rsid w:val="00B22EA3"/>
    <w:rsid w:val="00B231B4"/>
    <w:rsid w:val="00B2491C"/>
    <w:rsid w:val="00B250A8"/>
    <w:rsid w:val="00B25DCD"/>
    <w:rsid w:val="00B26CDC"/>
    <w:rsid w:val="00B26EE4"/>
    <w:rsid w:val="00B26FE0"/>
    <w:rsid w:val="00B272A3"/>
    <w:rsid w:val="00B2771B"/>
    <w:rsid w:val="00B2773F"/>
    <w:rsid w:val="00B27990"/>
    <w:rsid w:val="00B303F9"/>
    <w:rsid w:val="00B305B9"/>
    <w:rsid w:val="00B332D4"/>
    <w:rsid w:val="00B33B95"/>
    <w:rsid w:val="00B34C0D"/>
    <w:rsid w:val="00B3508C"/>
    <w:rsid w:val="00B35A0D"/>
    <w:rsid w:val="00B36A07"/>
    <w:rsid w:val="00B36FEC"/>
    <w:rsid w:val="00B37B63"/>
    <w:rsid w:val="00B402E9"/>
    <w:rsid w:val="00B404F0"/>
    <w:rsid w:val="00B40E6F"/>
    <w:rsid w:val="00B416E7"/>
    <w:rsid w:val="00B41864"/>
    <w:rsid w:val="00B419EC"/>
    <w:rsid w:val="00B42F93"/>
    <w:rsid w:val="00B43B06"/>
    <w:rsid w:val="00B43BFE"/>
    <w:rsid w:val="00B44455"/>
    <w:rsid w:val="00B44610"/>
    <w:rsid w:val="00B4501C"/>
    <w:rsid w:val="00B45164"/>
    <w:rsid w:val="00B47D1F"/>
    <w:rsid w:val="00B50621"/>
    <w:rsid w:val="00B51610"/>
    <w:rsid w:val="00B51D0A"/>
    <w:rsid w:val="00B523FA"/>
    <w:rsid w:val="00B53B9E"/>
    <w:rsid w:val="00B55215"/>
    <w:rsid w:val="00B55349"/>
    <w:rsid w:val="00B55369"/>
    <w:rsid w:val="00B55749"/>
    <w:rsid w:val="00B56D2B"/>
    <w:rsid w:val="00B56F37"/>
    <w:rsid w:val="00B57324"/>
    <w:rsid w:val="00B579D7"/>
    <w:rsid w:val="00B60272"/>
    <w:rsid w:val="00B60491"/>
    <w:rsid w:val="00B60799"/>
    <w:rsid w:val="00B6166B"/>
    <w:rsid w:val="00B61858"/>
    <w:rsid w:val="00B61DA9"/>
    <w:rsid w:val="00B61EA5"/>
    <w:rsid w:val="00B62757"/>
    <w:rsid w:val="00B62AAD"/>
    <w:rsid w:val="00B63BBD"/>
    <w:rsid w:val="00B63CF2"/>
    <w:rsid w:val="00B6405E"/>
    <w:rsid w:val="00B64BDA"/>
    <w:rsid w:val="00B65D41"/>
    <w:rsid w:val="00B65D90"/>
    <w:rsid w:val="00B65FD0"/>
    <w:rsid w:val="00B661EF"/>
    <w:rsid w:val="00B66A26"/>
    <w:rsid w:val="00B66F35"/>
    <w:rsid w:val="00B672C3"/>
    <w:rsid w:val="00B676AC"/>
    <w:rsid w:val="00B70AA0"/>
    <w:rsid w:val="00B71A1A"/>
    <w:rsid w:val="00B72BA8"/>
    <w:rsid w:val="00B73B3F"/>
    <w:rsid w:val="00B746B1"/>
    <w:rsid w:val="00B74C57"/>
    <w:rsid w:val="00B7546B"/>
    <w:rsid w:val="00B76535"/>
    <w:rsid w:val="00B76A8F"/>
    <w:rsid w:val="00B77203"/>
    <w:rsid w:val="00B777AA"/>
    <w:rsid w:val="00B77847"/>
    <w:rsid w:val="00B77B13"/>
    <w:rsid w:val="00B80A89"/>
    <w:rsid w:val="00B80E3E"/>
    <w:rsid w:val="00B81AAF"/>
    <w:rsid w:val="00B83FA4"/>
    <w:rsid w:val="00B8506B"/>
    <w:rsid w:val="00B855DE"/>
    <w:rsid w:val="00B86807"/>
    <w:rsid w:val="00B8747E"/>
    <w:rsid w:val="00B874B8"/>
    <w:rsid w:val="00B90FE9"/>
    <w:rsid w:val="00B91AF1"/>
    <w:rsid w:val="00B92780"/>
    <w:rsid w:val="00B93475"/>
    <w:rsid w:val="00B93794"/>
    <w:rsid w:val="00B944D0"/>
    <w:rsid w:val="00B95A4D"/>
    <w:rsid w:val="00B95D15"/>
    <w:rsid w:val="00BA08B6"/>
    <w:rsid w:val="00BA163E"/>
    <w:rsid w:val="00BA20D1"/>
    <w:rsid w:val="00BA233E"/>
    <w:rsid w:val="00BA25CA"/>
    <w:rsid w:val="00BA2C51"/>
    <w:rsid w:val="00BA30C0"/>
    <w:rsid w:val="00BA4B09"/>
    <w:rsid w:val="00BA5240"/>
    <w:rsid w:val="00BA5922"/>
    <w:rsid w:val="00BA61DC"/>
    <w:rsid w:val="00BA6A57"/>
    <w:rsid w:val="00BB0D22"/>
    <w:rsid w:val="00BB19F0"/>
    <w:rsid w:val="00BB2C3C"/>
    <w:rsid w:val="00BB302C"/>
    <w:rsid w:val="00BB33CA"/>
    <w:rsid w:val="00BB38B8"/>
    <w:rsid w:val="00BB3B04"/>
    <w:rsid w:val="00BB42DA"/>
    <w:rsid w:val="00BB4BAD"/>
    <w:rsid w:val="00BB5B40"/>
    <w:rsid w:val="00BB5C1E"/>
    <w:rsid w:val="00BB5F5D"/>
    <w:rsid w:val="00BB60E8"/>
    <w:rsid w:val="00BB6CAF"/>
    <w:rsid w:val="00BB6F50"/>
    <w:rsid w:val="00BC03A4"/>
    <w:rsid w:val="00BC0AF0"/>
    <w:rsid w:val="00BC15D1"/>
    <w:rsid w:val="00BC2860"/>
    <w:rsid w:val="00BC2CC0"/>
    <w:rsid w:val="00BC3461"/>
    <w:rsid w:val="00BC3853"/>
    <w:rsid w:val="00BC4965"/>
    <w:rsid w:val="00BC4E43"/>
    <w:rsid w:val="00BC6F19"/>
    <w:rsid w:val="00BC7327"/>
    <w:rsid w:val="00BD0D4D"/>
    <w:rsid w:val="00BD1233"/>
    <w:rsid w:val="00BD1AAA"/>
    <w:rsid w:val="00BD28EE"/>
    <w:rsid w:val="00BD2EBF"/>
    <w:rsid w:val="00BD3913"/>
    <w:rsid w:val="00BD3D7C"/>
    <w:rsid w:val="00BD49C2"/>
    <w:rsid w:val="00BD4DCB"/>
    <w:rsid w:val="00BD5000"/>
    <w:rsid w:val="00BD676C"/>
    <w:rsid w:val="00BD698C"/>
    <w:rsid w:val="00BD7501"/>
    <w:rsid w:val="00BD7523"/>
    <w:rsid w:val="00BD7B2A"/>
    <w:rsid w:val="00BE0020"/>
    <w:rsid w:val="00BE0F0B"/>
    <w:rsid w:val="00BE16D6"/>
    <w:rsid w:val="00BE1771"/>
    <w:rsid w:val="00BE2956"/>
    <w:rsid w:val="00BE3176"/>
    <w:rsid w:val="00BE3AE8"/>
    <w:rsid w:val="00BE48D0"/>
    <w:rsid w:val="00BE4ADE"/>
    <w:rsid w:val="00BE52E5"/>
    <w:rsid w:val="00BE5BA4"/>
    <w:rsid w:val="00BE5CD3"/>
    <w:rsid w:val="00BE69ED"/>
    <w:rsid w:val="00BE6E25"/>
    <w:rsid w:val="00BE6E89"/>
    <w:rsid w:val="00BE7C1D"/>
    <w:rsid w:val="00BF0DA7"/>
    <w:rsid w:val="00BF11C5"/>
    <w:rsid w:val="00BF12FA"/>
    <w:rsid w:val="00BF1AAD"/>
    <w:rsid w:val="00BF298D"/>
    <w:rsid w:val="00BF353E"/>
    <w:rsid w:val="00BF3B8E"/>
    <w:rsid w:val="00BF3DAA"/>
    <w:rsid w:val="00BF3F94"/>
    <w:rsid w:val="00BF41C3"/>
    <w:rsid w:val="00BF46EC"/>
    <w:rsid w:val="00BF5361"/>
    <w:rsid w:val="00BF7254"/>
    <w:rsid w:val="00BF78DC"/>
    <w:rsid w:val="00BF7BAC"/>
    <w:rsid w:val="00C0045A"/>
    <w:rsid w:val="00C0056C"/>
    <w:rsid w:val="00C019E6"/>
    <w:rsid w:val="00C01B66"/>
    <w:rsid w:val="00C020F1"/>
    <w:rsid w:val="00C0293A"/>
    <w:rsid w:val="00C02A27"/>
    <w:rsid w:val="00C032A8"/>
    <w:rsid w:val="00C033AA"/>
    <w:rsid w:val="00C0415F"/>
    <w:rsid w:val="00C04640"/>
    <w:rsid w:val="00C0536F"/>
    <w:rsid w:val="00C07145"/>
    <w:rsid w:val="00C0755F"/>
    <w:rsid w:val="00C077B6"/>
    <w:rsid w:val="00C07998"/>
    <w:rsid w:val="00C102FE"/>
    <w:rsid w:val="00C10D87"/>
    <w:rsid w:val="00C11E9E"/>
    <w:rsid w:val="00C13F2B"/>
    <w:rsid w:val="00C141E1"/>
    <w:rsid w:val="00C143AB"/>
    <w:rsid w:val="00C1476C"/>
    <w:rsid w:val="00C14C48"/>
    <w:rsid w:val="00C15B72"/>
    <w:rsid w:val="00C1691E"/>
    <w:rsid w:val="00C16D6E"/>
    <w:rsid w:val="00C17E89"/>
    <w:rsid w:val="00C17FA0"/>
    <w:rsid w:val="00C20033"/>
    <w:rsid w:val="00C21605"/>
    <w:rsid w:val="00C21937"/>
    <w:rsid w:val="00C21E13"/>
    <w:rsid w:val="00C22298"/>
    <w:rsid w:val="00C23356"/>
    <w:rsid w:val="00C239AA"/>
    <w:rsid w:val="00C23B60"/>
    <w:rsid w:val="00C23D95"/>
    <w:rsid w:val="00C24323"/>
    <w:rsid w:val="00C25F95"/>
    <w:rsid w:val="00C2767F"/>
    <w:rsid w:val="00C27737"/>
    <w:rsid w:val="00C30621"/>
    <w:rsid w:val="00C30BBC"/>
    <w:rsid w:val="00C30C7D"/>
    <w:rsid w:val="00C311F7"/>
    <w:rsid w:val="00C31933"/>
    <w:rsid w:val="00C31CE7"/>
    <w:rsid w:val="00C32407"/>
    <w:rsid w:val="00C32A85"/>
    <w:rsid w:val="00C32E99"/>
    <w:rsid w:val="00C33A9A"/>
    <w:rsid w:val="00C3424F"/>
    <w:rsid w:val="00C34584"/>
    <w:rsid w:val="00C3767D"/>
    <w:rsid w:val="00C37BB2"/>
    <w:rsid w:val="00C37E79"/>
    <w:rsid w:val="00C37F5C"/>
    <w:rsid w:val="00C40590"/>
    <w:rsid w:val="00C407AE"/>
    <w:rsid w:val="00C4152B"/>
    <w:rsid w:val="00C41545"/>
    <w:rsid w:val="00C41AB2"/>
    <w:rsid w:val="00C41C98"/>
    <w:rsid w:val="00C42056"/>
    <w:rsid w:val="00C42296"/>
    <w:rsid w:val="00C439BC"/>
    <w:rsid w:val="00C43A36"/>
    <w:rsid w:val="00C44706"/>
    <w:rsid w:val="00C44742"/>
    <w:rsid w:val="00C44A41"/>
    <w:rsid w:val="00C4552B"/>
    <w:rsid w:val="00C45A58"/>
    <w:rsid w:val="00C47248"/>
    <w:rsid w:val="00C4797A"/>
    <w:rsid w:val="00C50CCE"/>
    <w:rsid w:val="00C51CB8"/>
    <w:rsid w:val="00C5206F"/>
    <w:rsid w:val="00C5293D"/>
    <w:rsid w:val="00C52CE0"/>
    <w:rsid w:val="00C52FD6"/>
    <w:rsid w:val="00C54030"/>
    <w:rsid w:val="00C542D2"/>
    <w:rsid w:val="00C54302"/>
    <w:rsid w:val="00C55313"/>
    <w:rsid w:val="00C55531"/>
    <w:rsid w:val="00C556AE"/>
    <w:rsid w:val="00C5575F"/>
    <w:rsid w:val="00C55D2A"/>
    <w:rsid w:val="00C5670D"/>
    <w:rsid w:val="00C56899"/>
    <w:rsid w:val="00C56A5E"/>
    <w:rsid w:val="00C56BD4"/>
    <w:rsid w:val="00C56ED0"/>
    <w:rsid w:val="00C6006D"/>
    <w:rsid w:val="00C602A7"/>
    <w:rsid w:val="00C60E6F"/>
    <w:rsid w:val="00C6166C"/>
    <w:rsid w:val="00C620F5"/>
    <w:rsid w:val="00C62453"/>
    <w:rsid w:val="00C62ED7"/>
    <w:rsid w:val="00C64323"/>
    <w:rsid w:val="00C66C6C"/>
    <w:rsid w:val="00C7073F"/>
    <w:rsid w:val="00C7086C"/>
    <w:rsid w:val="00C70D81"/>
    <w:rsid w:val="00C7182F"/>
    <w:rsid w:val="00C71E24"/>
    <w:rsid w:val="00C71EAA"/>
    <w:rsid w:val="00C74691"/>
    <w:rsid w:val="00C751C9"/>
    <w:rsid w:val="00C7576A"/>
    <w:rsid w:val="00C75C2A"/>
    <w:rsid w:val="00C760EA"/>
    <w:rsid w:val="00C76319"/>
    <w:rsid w:val="00C76480"/>
    <w:rsid w:val="00C76495"/>
    <w:rsid w:val="00C77626"/>
    <w:rsid w:val="00C77AFE"/>
    <w:rsid w:val="00C800CA"/>
    <w:rsid w:val="00C803F0"/>
    <w:rsid w:val="00C81755"/>
    <w:rsid w:val="00C81D17"/>
    <w:rsid w:val="00C823FF"/>
    <w:rsid w:val="00C82932"/>
    <w:rsid w:val="00C82A4B"/>
    <w:rsid w:val="00C82FC0"/>
    <w:rsid w:val="00C83226"/>
    <w:rsid w:val="00C8376B"/>
    <w:rsid w:val="00C85205"/>
    <w:rsid w:val="00C852C8"/>
    <w:rsid w:val="00C85E2A"/>
    <w:rsid w:val="00C86098"/>
    <w:rsid w:val="00C875CB"/>
    <w:rsid w:val="00C87D8F"/>
    <w:rsid w:val="00C9042B"/>
    <w:rsid w:val="00C90675"/>
    <w:rsid w:val="00C90704"/>
    <w:rsid w:val="00C907B1"/>
    <w:rsid w:val="00C90900"/>
    <w:rsid w:val="00C91709"/>
    <w:rsid w:val="00C91E49"/>
    <w:rsid w:val="00C925F6"/>
    <w:rsid w:val="00C92E5A"/>
    <w:rsid w:val="00C93371"/>
    <w:rsid w:val="00C935BA"/>
    <w:rsid w:val="00C93E99"/>
    <w:rsid w:val="00C93FDC"/>
    <w:rsid w:val="00C93FED"/>
    <w:rsid w:val="00C940A1"/>
    <w:rsid w:val="00C94538"/>
    <w:rsid w:val="00C94E31"/>
    <w:rsid w:val="00C95C97"/>
    <w:rsid w:val="00C95FE7"/>
    <w:rsid w:val="00C960A9"/>
    <w:rsid w:val="00C96DD7"/>
    <w:rsid w:val="00C97161"/>
    <w:rsid w:val="00C974A2"/>
    <w:rsid w:val="00C97AC8"/>
    <w:rsid w:val="00CA0096"/>
    <w:rsid w:val="00CA0A57"/>
    <w:rsid w:val="00CA0FBA"/>
    <w:rsid w:val="00CA12C9"/>
    <w:rsid w:val="00CA13C4"/>
    <w:rsid w:val="00CA153E"/>
    <w:rsid w:val="00CA2A3F"/>
    <w:rsid w:val="00CA304F"/>
    <w:rsid w:val="00CA3E10"/>
    <w:rsid w:val="00CA3FBC"/>
    <w:rsid w:val="00CA403F"/>
    <w:rsid w:val="00CA46E3"/>
    <w:rsid w:val="00CA554B"/>
    <w:rsid w:val="00CA5C23"/>
    <w:rsid w:val="00CA64B0"/>
    <w:rsid w:val="00CA6B60"/>
    <w:rsid w:val="00CA7371"/>
    <w:rsid w:val="00CA73AB"/>
    <w:rsid w:val="00CA7846"/>
    <w:rsid w:val="00CB2C6F"/>
    <w:rsid w:val="00CB2F70"/>
    <w:rsid w:val="00CB42ED"/>
    <w:rsid w:val="00CB4408"/>
    <w:rsid w:val="00CB477D"/>
    <w:rsid w:val="00CB4983"/>
    <w:rsid w:val="00CB508B"/>
    <w:rsid w:val="00CB5616"/>
    <w:rsid w:val="00CB5C71"/>
    <w:rsid w:val="00CB6860"/>
    <w:rsid w:val="00CB6906"/>
    <w:rsid w:val="00CB6EEA"/>
    <w:rsid w:val="00CC0704"/>
    <w:rsid w:val="00CC09C2"/>
    <w:rsid w:val="00CC0DC2"/>
    <w:rsid w:val="00CC3254"/>
    <w:rsid w:val="00CC35FB"/>
    <w:rsid w:val="00CC390D"/>
    <w:rsid w:val="00CC3AE8"/>
    <w:rsid w:val="00CC3B0C"/>
    <w:rsid w:val="00CC3CBA"/>
    <w:rsid w:val="00CC44F6"/>
    <w:rsid w:val="00CC48E9"/>
    <w:rsid w:val="00CC4C37"/>
    <w:rsid w:val="00CC5566"/>
    <w:rsid w:val="00CC579E"/>
    <w:rsid w:val="00CC58F9"/>
    <w:rsid w:val="00CC6063"/>
    <w:rsid w:val="00CC78CA"/>
    <w:rsid w:val="00CD06E9"/>
    <w:rsid w:val="00CD0D15"/>
    <w:rsid w:val="00CD12C6"/>
    <w:rsid w:val="00CD1DC1"/>
    <w:rsid w:val="00CD1DFE"/>
    <w:rsid w:val="00CD237E"/>
    <w:rsid w:val="00CD2484"/>
    <w:rsid w:val="00CD3176"/>
    <w:rsid w:val="00CD349E"/>
    <w:rsid w:val="00CD40D3"/>
    <w:rsid w:val="00CD522C"/>
    <w:rsid w:val="00CD63B9"/>
    <w:rsid w:val="00CD7927"/>
    <w:rsid w:val="00CD7C2F"/>
    <w:rsid w:val="00CE03FC"/>
    <w:rsid w:val="00CE0C3C"/>
    <w:rsid w:val="00CE13B5"/>
    <w:rsid w:val="00CE1C00"/>
    <w:rsid w:val="00CE2727"/>
    <w:rsid w:val="00CE2CCD"/>
    <w:rsid w:val="00CE347C"/>
    <w:rsid w:val="00CE3DDA"/>
    <w:rsid w:val="00CE44E3"/>
    <w:rsid w:val="00CE5C2E"/>
    <w:rsid w:val="00CE5E9A"/>
    <w:rsid w:val="00CE5F7E"/>
    <w:rsid w:val="00CE6ED5"/>
    <w:rsid w:val="00CE770D"/>
    <w:rsid w:val="00CE7BB6"/>
    <w:rsid w:val="00CE7E1C"/>
    <w:rsid w:val="00CF0221"/>
    <w:rsid w:val="00CF06A6"/>
    <w:rsid w:val="00CF172D"/>
    <w:rsid w:val="00CF180F"/>
    <w:rsid w:val="00CF262B"/>
    <w:rsid w:val="00CF2B16"/>
    <w:rsid w:val="00CF3311"/>
    <w:rsid w:val="00CF350D"/>
    <w:rsid w:val="00CF3F61"/>
    <w:rsid w:val="00CF479B"/>
    <w:rsid w:val="00CF4903"/>
    <w:rsid w:val="00CF5631"/>
    <w:rsid w:val="00CF609B"/>
    <w:rsid w:val="00CF6326"/>
    <w:rsid w:val="00CF6664"/>
    <w:rsid w:val="00D0048E"/>
    <w:rsid w:val="00D01AC4"/>
    <w:rsid w:val="00D02144"/>
    <w:rsid w:val="00D025DA"/>
    <w:rsid w:val="00D02C81"/>
    <w:rsid w:val="00D0301E"/>
    <w:rsid w:val="00D0382D"/>
    <w:rsid w:val="00D038B0"/>
    <w:rsid w:val="00D03E46"/>
    <w:rsid w:val="00D04129"/>
    <w:rsid w:val="00D0430B"/>
    <w:rsid w:val="00D04D13"/>
    <w:rsid w:val="00D04FE5"/>
    <w:rsid w:val="00D05E42"/>
    <w:rsid w:val="00D0695C"/>
    <w:rsid w:val="00D06E80"/>
    <w:rsid w:val="00D0706F"/>
    <w:rsid w:val="00D07FE0"/>
    <w:rsid w:val="00D1020C"/>
    <w:rsid w:val="00D10A0F"/>
    <w:rsid w:val="00D111FB"/>
    <w:rsid w:val="00D115AA"/>
    <w:rsid w:val="00D11F39"/>
    <w:rsid w:val="00D120F4"/>
    <w:rsid w:val="00D1240A"/>
    <w:rsid w:val="00D128D8"/>
    <w:rsid w:val="00D12D9F"/>
    <w:rsid w:val="00D12EBC"/>
    <w:rsid w:val="00D13416"/>
    <w:rsid w:val="00D13DA5"/>
    <w:rsid w:val="00D140D3"/>
    <w:rsid w:val="00D14944"/>
    <w:rsid w:val="00D14A59"/>
    <w:rsid w:val="00D14EAD"/>
    <w:rsid w:val="00D15AB9"/>
    <w:rsid w:val="00D16906"/>
    <w:rsid w:val="00D2026E"/>
    <w:rsid w:val="00D2080A"/>
    <w:rsid w:val="00D20BA8"/>
    <w:rsid w:val="00D20EB0"/>
    <w:rsid w:val="00D21DC4"/>
    <w:rsid w:val="00D2233A"/>
    <w:rsid w:val="00D225B8"/>
    <w:rsid w:val="00D22BB3"/>
    <w:rsid w:val="00D23246"/>
    <w:rsid w:val="00D23B87"/>
    <w:rsid w:val="00D2437B"/>
    <w:rsid w:val="00D244A7"/>
    <w:rsid w:val="00D24EFB"/>
    <w:rsid w:val="00D257CD"/>
    <w:rsid w:val="00D25AB4"/>
    <w:rsid w:val="00D26BF6"/>
    <w:rsid w:val="00D30A25"/>
    <w:rsid w:val="00D30BE4"/>
    <w:rsid w:val="00D31539"/>
    <w:rsid w:val="00D31653"/>
    <w:rsid w:val="00D323AD"/>
    <w:rsid w:val="00D333DB"/>
    <w:rsid w:val="00D333E4"/>
    <w:rsid w:val="00D334BE"/>
    <w:rsid w:val="00D33647"/>
    <w:rsid w:val="00D33DE1"/>
    <w:rsid w:val="00D34E20"/>
    <w:rsid w:val="00D35FF9"/>
    <w:rsid w:val="00D369BD"/>
    <w:rsid w:val="00D37029"/>
    <w:rsid w:val="00D3770D"/>
    <w:rsid w:val="00D419DC"/>
    <w:rsid w:val="00D41CE5"/>
    <w:rsid w:val="00D41D6C"/>
    <w:rsid w:val="00D41F87"/>
    <w:rsid w:val="00D42134"/>
    <w:rsid w:val="00D4284F"/>
    <w:rsid w:val="00D429C9"/>
    <w:rsid w:val="00D42A2B"/>
    <w:rsid w:val="00D43595"/>
    <w:rsid w:val="00D438A7"/>
    <w:rsid w:val="00D44652"/>
    <w:rsid w:val="00D44D54"/>
    <w:rsid w:val="00D45D5F"/>
    <w:rsid w:val="00D46228"/>
    <w:rsid w:val="00D46EC6"/>
    <w:rsid w:val="00D47145"/>
    <w:rsid w:val="00D50392"/>
    <w:rsid w:val="00D504A5"/>
    <w:rsid w:val="00D507B1"/>
    <w:rsid w:val="00D5092C"/>
    <w:rsid w:val="00D50B9D"/>
    <w:rsid w:val="00D51577"/>
    <w:rsid w:val="00D51BEE"/>
    <w:rsid w:val="00D51CBB"/>
    <w:rsid w:val="00D521B9"/>
    <w:rsid w:val="00D52201"/>
    <w:rsid w:val="00D52211"/>
    <w:rsid w:val="00D5266C"/>
    <w:rsid w:val="00D52C7D"/>
    <w:rsid w:val="00D534CE"/>
    <w:rsid w:val="00D53B4B"/>
    <w:rsid w:val="00D53D4D"/>
    <w:rsid w:val="00D54429"/>
    <w:rsid w:val="00D5576A"/>
    <w:rsid w:val="00D55C1D"/>
    <w:rsid w:val="00D55E71"/>
    <w:rsid w:val="00D55F07"/>
    <w:rsid w:val="00D560B0"/>
    <w:rsid w:val="00D569E8"/>
    <w:rsid w:val="00D56D08"/>
    <w:rsid w:val="00D56EA2"/>
    <w:rsid w:val="00D5707D"/>
    <w:rsid w:val="00D5772B"/>
    <w:rsid w:val="00D57EDB"/>
    <w:rsid w:val="00D608B8"/>
    <w:rsid w:val="00D614D5"/>
    <w:rsid w:val="00D61854"/>
    <w:rsid w:val="00D61AA9"/>
    <w:rsid w:val="00D635A8"/>
    <w:rsid w:val="00D6394D"/>
    <w:rsid w:val="00D63994"/>
    <w:rsid w:val="00D63A49"/>
    <w:rsid w:val="00D63C0A"/>
    <w:rsid w:val="00D63E2D"/>
    <w:rsid w:val="00D63FA0"/>
    <w:rsid w:val="00D64125"/>
    <w:rsid w:val="00D65298"/>
    <w:rsid w:val="00D6576A"/>
    <w:rsid w:val="00D66532"/>
    <w:rsid w:val="00D66944"/>
    <w:rsid w:val="00D66B76"/>
    <w:rsid w:val="00D66F8C"/>
    <w:rsid w:val="00D66FFC"/>
    <w:rsid w:val="00D67656"/>
    <w:rsid w:val="00D67AD3"/>
    <w:rsid w:val="00D67FC9"/>
    <w:rsid w:val="00D703FA"/>
    <w:rsid w:val="00D7107B"/>
    <w:rsid w:val="00D71146"/>
    <w:rsid w:val="00D71C25"/>
    <w:rsid w:val="00D726E3"/>
    <w:rsid w:val="00D72750"/>
    <w:rsid w:val="00D74363"/>
    <w:rsid w:val="00D746AD"/>
    <w:rsid w:val="00D74A71"/>
    <w:rsid w:val="00D752D8"/>
    <w:rsid w:val="00D75451"/>
    <w:rsid w:val="00D75626"/>
    <w:rsid w:val="00D75E9C"/>
    <w:rsid w:val="00D7612A"/>
    <w:rsid w:val="00D76D45"/>
    <w:rsid w:val="00D76FA7"/>
    <w:rsid w:val="00D77DBC"/>
    <w:rsid w:val="00D80076"/>
    <w:rsid w:val="00D803BB"/>
    <w:rsid w:val="00D80CEC"/>
    <w:rsid w:val="00D80FAD"/>
    <w:rsid w:val="00D821E5"/>
    <w:rsid w:val="00D8226B"/>
    <w:rsid w:val="00D822F0"/>
    <w:rsid w:val="00D8287D"/>
    <w:rsid w:val="00D82B56"/>
    <w:rsid w:val="00D83486"/>
    <w:rsid w:val="00D8394B"/>
    <w:rsid w:val="00D843F2"/>
    <w:rsid w:val="00D85362"/>
    <w:rsid w:val="00D853E5"/>
    <w:rsid w:val="00D8591D"/>
    <w:rsid w:val="00D8697F"/>
    <w:rsid w:val="00D8726A"/>
    <w:rsid w:val="00D87E97"/>
    <w:rsid w:val="00D90D8B"/>
    <w:rsid w:val="00D91450"/>
    <w:rsid w:val="00D91760"/>
    <w:rsid w:val="00D93D4A"/>
    <w:rsid w:val="00D94239"/>
    <w:rsid w:val="00D945AE"/>
    <w:rsid w:val="00D952E6"/>
    <w:rsid w:val="00D95C55"/>
    <w:rsid w:val="00D95DEA"/>
    <w:rsid w:val="00D963CB"/>
    <w:rsid w:val="00D9741A"/>
    <w:rsid w:val="00D9798B"/>
    <w:rsid w:val="00D97EE9"/>
    <w:rsid w:val="00DA1027"/>
    <w:rsid w:val="00DA1531"/>
    <w:rsid w:val="00DA17EC"/>
    <w:rsid w:val="00DA1D7B"/>
    <w:rsid w:val="00DA2D93"/>
    <w:rsid w:val="00DA3241"/>
    <w:rsid w:val="00DA3AA1"/>
    <w:rsid w:val="00DA5C10"/>
    <w:rsid w:val="00DA5E97"/>
    <w:rsid w:val="00DA642F"/>
    <w:rsid w:val="00DA77A1"/>
    <w:rsid w:val="00DA7E77"/>
    <w:rsid w:val="00DA7E8C"/>
    <w:rsid w:val="00DB12F9"/>
    <w:rsid w:val="00DB1356"/>
    <w:rsid w:val="00DB1C0D"/>
    <w:rsid w:val="00DB2300"/>
    <w:rsid w:val="00DB2B80"/>
    <w:rsid w:val="00DB2DB8"/>
    <w:rsid w:val="00DB2F7F"/>
    <w:rsid w:val="00DB3100"/>
    <w:rsid w:val="00DB3B3C"/>
    <w:rsid w:val="00DB3E1E"/>
    <w:rsid w:val="00DB4193"/>
    <w:rsid w:val="00DB4618"/>
    <w:rsid w:val="00DB4674"/>
    <w:rsid w:val="00DB5110"/>
    <w:rsid w:val="00DB61BB"/>
    <w:rsid w:val="00DB74B4"/>
    <w:rsid w:val="00DB7592"/>
    <w:rsid w:val="00DB7F07"/>
    <w:rsid w:val="00DC0E34"/>
    <w:rsid w:val="00DC1133"/>
    <w:rsid w:val="00DC172F"/>
    <w:rsid w:val="00DC1B40"/>
    <w:rsid w:val="00DC2A06"/>
    <w:rsid w:val="00DC2E5F"/>
    <w:rsid w:val="00DC3765"/>
    <w:rsid w:val="00DC3D12"/>
    <w:rsid w:val="00DC3FD8"/>
    <w:rsid w:val="00DC4612"/>
    <w:rsid w:val="00DC4685"/>
    <w:rsid w:val="00DC4A69"/>
    <w:rsid w:val="00DC4B04"/>
    <w:rsid w:val="00DC5B1F"/>
    <w:rsid w:val="00DC68D0"/>
    <w:rsid w:val="00DC6E29"/>
    <w:rsid w:val="00DC704C"/>
    <w:rsid w:val="00DD0547"/>
    <w:rsid w:val="00DD25E7"/>
    <w:rsid w:val="00DD26A0"/>
    <w:rsid w:val="00DD339F"/>
    <w:rsid w:val="00DD3418"/>
    <w:rsid w:val="00DD353F"/>
    <w:rsid w:val="00DD3E92"/>
    <w:rsid w:val="00DD4264"/>
    <w:rsid w:val="00DD45C4"/>
    <w:rsid w:val="00DD466F"/>
    <w:rsid w:val="00DD4CA6"/>
    <w:rsid w:val="00DD59C3"/>
    <w:rsid w:val="00DD683C"/>
    <w:rsid w:val="00DD6B75"/>
    <w:rsid w:val="00DD74DD"/>
    <w:rsid w:val="00DD77DC"/>
    <w:rsid w:val="00DE1C81"/>
    <w:rsid w:val="00DE1D40"/>
    <w:rsid w:val="00DE21EA"/>
    <w:rsid w:val="00DE230A"/>
    <w:rsid w:val="00DE25D5"/>
    <w:rsid w:val="00DE279E"/>
    <w:rsid w:val="00DE299F"/>
    <w:rsid w:val="00DE3079"/>
    <w:rsid w:val="00DE364F"/>
    <w:rsid w:val="00DE390A"/>
    <w:rsid w:val="00DE4054"/>
    <w:rsid w:val="00DE4710"/>
    <w:rsid w:val="00DE48CE"/>
    <w:rsid w:val="00DE4F6A"/>
    <w:rsid w:val="00DE6B31"/>
    <w:rsid w:val="00DE79CB"/>
    <w:rsid w:val="00DE7ABE"/>
    <w:rsid w:val="00DE7BCB"/>
    <w:rsid w:val="00DF0DB8"/>
    <w:rsid w:val="00DF128D"/>
    <w:rsid w:val="00DF1AAA"/>
    <w:rsid w:val="00DF1FD3"/>
    <w:rsid w:val="00DF2767"/>
    <w:rsid w:val="00DF2848"/>
    <w:rsid w:val="00DF2B12"/>
    <w:rsid w:val="00DF31E8"/>
    <w:rsid w:val="00DF3562"/>
    <w:rsid w:val="00DF3F05"/>
    <w:rsid w:val="00DF4154"/>
    <w:rsid w:val="00DF4799"/>
    <w:rsid w:val="00DF546C"/>
    <w:rsid w:val="00DF67E1"/>
    <w:rsid w:val="00DF6B7C"/>
    <w:rsid w:val="00DF70B5"/>
    <w:rsid w:val="00DF7154"/>
    <w:rsid w:val="00DF7A46"/>
    <w:rsid w:val="00DF7BE4"/>
    <w:rsid w:val="00E0110C"/>
    <w:rsid w:val="00E01A01"/>
    <w:rsid w:val="00E02A46"/>
    <w:rsid w:val="00E02FCB"/>
    <w:rsid w:val="00E03052"/>
    <w:rsid w:val="00E032D4"/>
    <w:rsid w:val="00E0393B"/>
    <w:rsid w:val="00E0480B"/>
    <w:rsid w:val="00E04C80"/>
    <w:rsid w:val="00E05609"/>
    <w:rsid w:val="00E05BA1"/>
    <w:rsid w:val="00E05C0F"/>
    <w:rsid w:val="00E0650B"/>
    <w:rsid w:val="00E07003"/>
    <w:rsid w:val="00E0764C"/>
    <w:rsid w:val="00E07E90"/>
    <w:rsid w:val="00E07F65"/>
    <w:rsid w:val="00E10DD7"/>
    <w:rsid w:val="00E115FD"/>
    <w:rsid w:val="00E12458"/>
    <w:rsid w:val="00E13DEE"/>
    <w:rsid w:val="00E14EE9"/>
    <w:rsid w:val="00E150B8"/>
    <w:rsid w:val="00E15A14"/>
    <w:rsid w:val="00E15CA6"/>
    <w:rsid w:val="00E17390"/>
    <w:rsid w:val="00E177F8"/>
    <w:rsid w:val="00E17860"/>
    <w:rsid w:val="00E20306"/>
    <w:rsid w:val="00E2131F"/>
    <w:rsid w:val="00E21418"/>
    <w:rsid w:val="00E21AA5"/>
    <w:rsid w:val="00E24C7E"/>
    <w:rsid w:val="00E25C1B"/>
    <w:rsid w:val="00E25C7B"/>
    <w:rsid w:val="00E2624D"/>
    <w:rsid w:val="00E26BB1"/>
    <w:rsid w:val="00E30115"/>
    <w:rsid w:val="00E30846"/>
    <w:rsid w:val="00E30B53"/>
    <w:rsid w:val="00E30D38"/>
    <w:rsid w:val="00E30E82"/>
    <w:rsid w:val="00E318A3"/>
    <w:rsid w:val="00E32138"/>
    <w:rsid w:val="00E32864"/>
    <w:rsid w:val="00E32C04"/>
    <w:rsid w:val="00E33A9C"/>
    <w:rsid w:val="00E347EA"/>
    <w:rsid w:val="00E34B40"/>
    <w:rsid w:val="00E351D6"/>
    <w:rsid w:val="00E35459"/>
    <w:rsid w:val="00E36989"/>
    <w:rsid w:val="00E36C35"/>
    <w:rsid w:val="00E375B2"/>
    <w:rsid w:val="00E37AD3"/>
    <w:rsid w:val="00E37B21"/>
    <w:rsid w:val="00E37F4C"/>
    <w:rsid w:val="00E40038"/>
    <w:rsid w:val="00E40C17"/>
    <w:rsid w:val="00E40FA1"/>
    <w:rsid w:val="00E42169"/>
    <w:rsid w:val="00E42206"/>
    <w:rsid w:val="00E42B5B"/>
    <w:rsid w:val="00E42F78"/>
    <w:rsid w:val="00E42FC3"/>
    <w:rsid w:val="00E441E6"/>
    <w:rsid w:val="00E45131"/>
    <w:rsid w:val="00E45159"/>
    <w:rsid w:val="00E455B6"/>
    <w:rsid w:val="00E45655"/>
    <w:rsid w:val="00E45846"/>
    <w:rsid w:val="00E4689F"/>
    <w:rsid w:val="00E47C89"/>
    <w:rsid w:val="00E47D6B"/>
    <w:rsid w:val="00E5012B"/>
    <w:rsid w:val="00E509E6"/>
    <w:rsid w:val="00E51BE1"/>
    <w:rsid w:val="00E530C5"/>
    <w:rsid w:val="00E536B3"/>
    <w:rsid w:val="00E53BFE"/>
    <w:rsid w:val="00E53D42"/>
    <w:rsid w:val="00E53E45"/>
    <w:rsid w:val="00E54523"/>
    <w:rsid w:val="00E54A91"/>
    <w:rsid w:val="00E54FEB"/>
    <w:rsid w:val="00E55877"/>
    <w:rsid w:val="00E55C79"/>
    <w:rsid w:val="00E56B0C"/>
    <w:rsid w:val="00E61FA0"/>
    <w:rsid w:val="00E62157"/>
    <w:rsid w:val="00E6295F"/>
    <w:rsid w:val="00E62D45"/>
    <w:rsid w:val="00E630E5"/>
    <w:rsid w:val="00E6409B"/>
    <w:rsid w:val="00E65056"/>
    <w:rsid w:val="00E656AE"/>
    <w:rsid w:val="00E65847"/>
    <w:rsid w:val="00E6629A"/>
    <w:rsid w:val="00E66B50"/>
    <w:rsid w:val="00E66BD6"/>
    <w:rsid w:val="00E66FF4"/>
    <w:rsid w:val="00E672C5"/>
    <w:rsid w:val="00E71904"/>
    <w:rsid w:val="00E724E3"/>
    <w:rsid w:val="00E72C9A"/>
    <w:rsid w:val="00E7376F"/>
    <w:rsid w:val="00E73D9A"/>
    <w:rsid w:val="00E7442F"/>
    <w:rsid w:val="00E74776"/>
    <w:rsid w:val="00E77CA7"/>
    <w:rsid w:val="00E77D2C"/>
    <w:rsid w:val="00E80BCE"/>
    <w:rsid w:val="00E80D5A"/>
    <w:rsid w:val="00E81479"/>
    <w:rsid w:val="00E81576"/>
    <w:rsid w:val="00E82045"/>
    <w:rsid w:val="00E8226B"/>
    <w:rsid w:val="00E82BED"/>
    <w:rsid w:val="00E8328F"/>
    <w:rsid w:val="00E83D36"/>
    <w:rsid w:val="00E84A73"/>
    <w:rsid w:val="00E853EB"/>
    <w:rsid w:val="00E86DA6"/>
    <w:rsid w:val="00E86ED5"/>
    <w:rsid w:val="00E8759A"/>
    <w:rsid w:val="00E876B9"/>
    <w:rsid w:val="00E9082C"/>
    <w:rsid w:val="00E909F4"/>
    <w:rsid w:val="00E912D0"/>
    <w:rsid w:val="00E91600"/>
    <w:rsid w:val="00E91A69"/>
    <w:rsid w:val="00E938B7"/>
    <w:rsid w:val="00E93FE4"/>
    <w:rsid w:val="00E941F6"/>
    <w:rsid w:val="00E95878"/>
    <w:rsid w:val="00E95A5F"/>
    <w:rsid w:val="00E9642F"/>
    <w:rsid w:val="00E96AEB"/>
    <w:rsid w:val="00E970E7"/>
    <w:rsid w:val="00E97CD7"/>
    <w:rsid w:val="00EA01DE"/>
    <w:rsid w:val="00EA0A57"/>
    <w:rsid w:val="00EA0EC2"/>
    <w:rsid w:val="00EA144B"/>
    <w:rsid w:val="00EA155F"/>
    <w:rsid w:val="00EA17D3"/>
    <w:rsid w:val="00EA1943"/>
    <w:rsid w:val="00EA1B8D"/>
    <w:rsid w:val="00EA3393"/>
    <w:rsid w:val="00EA3F9C"/>
    <w:rsid w:val="00EA3FBA"/>
    <w:rsid w:val="00EA46BD"/>
    <w:rsid w:val="00EA4D98"/>
    <w:rsid w:val="00EA4FD0"/>
    <w:rsid w:val="00EA5042"/>
    <w:rsid w:val="00EA51B7"/>
    <w:rsid w:val="00EA57C7"/>
    <w:rsid w:val="00EA61DD"/>
    <w:rsid w:val="00EA6AC6"/>
    <w:rsid w:val="00EB0AFF"/>
    <w:rsid w:val="00EB1720"/>
    <w:rsid w:val="00EB1838"/>
    <w:rsid w:val="00EB1D4D"/>
    <w:rsid w:val="00EB1DB0"/>
    <w:rsid w:val="00EB3062"/>
    <w:rsid w:val="00EB3112"/>
    <w:rsid w:val="00EB3357"/>
    <w:rsid w:val="00EB4222"/>
    <w:rsid w:val="00EB4943"/>
    <w:rsid w:val="00EB648C"/>
    <w:rsid w:val="00EB6D98"/>
    <w:rsid w:val="00EB77A2"/>
    <w:rsid w:val="00EC1E46"/>
    <w:rsid w:val="00EC3A3D"/>
    <w:rsid w:val="00EC3BA9"/>
    <w:rsid w:val="00EC4001"/>
    <w:rsid w:val="00EC42CD"/>
    <w:rsid w:val="00EC48FC"/>
    <w:rsid w:val="00EC4C9C"/>
    <w:rsid w:val="00EC4D04"/>
    <w:rsid w:val="00EC4D11"/>
    <w:rsid w:val="00EC58D5"/>
    <w:rsid w:val="00EC5C7A"/>
    <w:rsid w:val="00EC5F04"/>
    <w:rsid w:val="00EC63C9"/>
    <w:rsid w:val="00EC71FD"/>
    <w:rsid w:val="00EC7E5E"/>
    <w:rsid w:val="00ED0139"/>
    <w:rsid w:val="00ED03CB"/>
    <w:rsid w:val="00ED1203"/>
    <w:rsid w:val="00ED16CB"/>
    <w:rsid w:val="00ED224E"/>
    <w:rsid w:val="00ED26C5"/>
    <w:rsid w:val="00ED58A0"/>
    <w:rsid w:val="00ED6644"/>
    <w:rsid w:val="00ED71D0"/>
    <w:rsid w:val="00ED722A"/>
    <w:rsid w:val="00ED7738"/>
    <w:rsid w:val="00EE02DE"/>
    <w:rsid w:val="00EE056E"/>
    <w:rsid w:val="00EE0CE3"/>
    <w:rsid w:val="00EE0D06"/>
    <w:rsid w:val="00EE1754"/>
    <w:rsid w:val="00EE17BC"/>
    <w:rsid w:val="00EE1DC9"/>
    <w:rsid w:val="00EE1E9F"/>
    <w:rsid w:val="00EE26F2"/>
    <w:rsid w:val="00EE28FC"/>
    <w:rsid w:val="00EE29C2"/>
    <w:rsid w:val="00EE2EC5"/>
    <w:rsid w:val="00EE4654"/>
    <w:rsid w:val="00EE4D36"/>
    <w:rsid w:val="00EE5050"/>
    <w:rsid w:val="00EE6B28"/>
    <w:rsid w:val="00EF08EE"/>
    <w:rsid w:val="00EF0BBC"/>
    <w:rsid w:val="00EF10A8"/>
    <w:rsid w:val="00EF124B"/>
    <w:rsid w:val="00EF15B5"/>
    <w:rsid w:val="00EF1FCD"/>
    <w:rsid w:val="00EF3AC5"/>
    <w:rsid w:val="00EF3E63"/>
    <w:rsid w:val="00EF4262"/>
    <w:rsid w:val="00EF4AD8"/>
    <w:rsid w:val="00EF4F8C"/>
    <w:rsid w:val="00EF71CD"/>
    <w:rsid w:val="00F00758"/>
    <w:rsid w:val="00F00C5B"/>
    <w:rsid w:val="00F01D77"/>
    <w:rsid w:val="00F023FB"/>
    <w:rsid w:val="00F02EB8"/>
    <w:rsid w:val="00F0479F"/>
    <w:rsid w:val="00F05100"/>
    <w:rsid w:val="00F05C6B"/>
    <w:rsid w:val="00F06578"/>
    <w:rsid w:val="00F10052"/>
    <w:rsid w:val="00F10249"/>
    <w:rsid w:val="00F10691"/>
    <w:rsid w:val="00F107F5"/>
    <w:rsid w:val="00F11386"/>
    <w:rsid w:val="00F1145D"/>
    <w:rsid w:val="00F1151C"/>
    <w:rsid w:val="00F118F8"/>
    <w:rsid w:val="00F1221A"/>
    <w:rsid w:val="00F12D91"/>
    <w:rsid w:val="00F1359F"/>
    <w:rsid w:val="00F136B5"/>
    <w:rsid w:val="00F13944"/>
    <w:rsid w:val="00F13DD8"/>
    <w:rsid w:val="00F13EC6"/>
    <w:rsid w:val="00F14084"/>
    <w:rsid w:val="00F14284"/>
    <w:rsid w:val="00F14469"/>
    <w:rsid w:val="00F153E0"/>
    <w:rsid w:val="00F1551C"/>
    <w:rsid w:val="00F17AF0"/>
    <w:rsid w:val="00F206AC"/>
    <w:rsid w:val="00F20DD3"/>
    <w:rsid w:val="00F23C7D"/>
    <w:rsid w:val="00F246D4"/>
    <w:rsid w:val="00F24F03"/>
    <w:rsid w:val="00F25097"/>
    <w:rsid w:val="00F251BD"/>
    <w:rsid w:val="00F25374"/>
    <w:rsid w:val="00F25BCD"/>
    <w:rsid w:val="00F25F16"/>
    <w:rsid w:val="00F2671C"/>
    <w:rsid w:val="00F277CF"/>
    <w:rsid w:val="00F27946"/>
    <w:rsid w:val="00F27AE3"/>
    <w:rsid w:val="00F27ECC"/>
    <w:rsid w:val="00F316E7"/>
    <w:rsid w:val="00F31E57"/>
    <w:rsid w:val="00F31E91"/>
    <w:rsid w:val="00F324EB"/>
    <w:rsid w:val="00F32722"/>
    <w:rsid w:val="00F338DD"/>
    <w:rsid w:val="00F33C77"/>
    <w:rsid w:val="00F34369"/>
    <w:rsid w:val="00F34AC2"/>
    <w:rsid w:val="00F3523F"/>
    <w:rsid w:val="00F35FED"/>
    <w:rsid w:val="00F36928"/>
    <w:rsid w:val="00F379B6"/>
    <w:rsid w:val="00F400BC"/>
    <w:rsid w:val="00F402C5"/>
    <w:rsid w:val="00F40DE8"/>
    <w:rsid w:val="00F41E6E"/>
    <w:rsid w:val="00F428A7"/>
    <w:rsid w:val="00F42C09"/>
    <w:rsid w:val="00F43642"/>
    <w:rsid w:val="00F45376"/>
    <w:rsid w:val="00F45F47"/>
    <w:rsid w:val="00F464A1"/>
    <w:rsid w:val="00F4694D"/>
    <w:rsid w:val="00F47380"/>
    <w:rsid w:val="00F474D2"/>
    <w:rsid w:val="00F474FA"/>
    <w:rsid w:val="00F4797E"/>
    <w:rsid w:val="00F47BF0"/>
    <w:rsid w:val="00F47DFE"/>
    <w:rsid w:val="00F47FCD"/>
    <w:rsid w:val="00F50727"/>
    <w:rsid w:val="00F50B97"/>
    <w:rsid w:val="00F50C90"/>
    <w:rsid w:val="00F511F5"/>
    <w:rsid w:val="00F51800"/>
    <w:rsid w:val="00F51CF3"/>
    <w:rsid w:val="00F520A0"/>
    <w:rsid w:val="00F526A3"/>
    <w:rsid w:val="00F52E4E"/>
    <w:rsid w:val="00F52F04"/>
    <w:rsid w:val="00F52F32"/>
    <w:rsid w:val="00F53106"/>
    <w:rsid w:val="00F53490"/>
    <w:rsid w:val="00F54672"/>
    <w:rsid w:val="00F54A2A"/>
    <w:rsid w:val="00F54BE7"/>
    <w:rsid w:val="00F56171"/>
    <w:rsid w:val="00F561D7"/>
    <w:rsid w:val="00F562E5"/>
    <w:rsid w:val="00F56E3E"/>
    <w:rsid w:val="00F5715F"/>
    <w:rsid w:val="00F5758A"/>
    <w:rsid w:val="00F5797D"/>
    <w:rsid w:val="00F607E0"/>
    <w:rsid w:val="00F6132E"/>
    <w:rsid w:val="00F6262B"/>
    <w:rsid w:val="00F628B1"/>
    <w:rsid w:val="00F62A3C"/>
    <w:rsid w:val="00F62CF8"/>
    <w:rsid w:val="00F63110"/>
    <w:rsid w:val="00F633C8"/>
    <w:rsid w:val="00F63C13"/>
    <w:rsid w:val="00F63DDA"/>
    <w:rsid w:val="00F63DEC"/>
    <w:rsid w:val="00F647D0"/>
    <w:rsid w:val="00F66420"/>
    <w:rsid w:val="00F667AC"/>
    <w:rsid w:val="00F67485"/>
    <w:rsid w:val="00F67582"/>
    <w:rsid w:val="00F67E3B"/>
    <w:rsid w:val="00F700B7"/>
    <w:rsid w:val="00F70616"/>
    <w:rsid w:val="00F70973"/>
    <w:rsid w:val="00F709F6"/>
    <w:rsid w:val="00F70E02"/>
    <w:rsid w:val="00F71762"/>
    <w:rsid w:val="00F71BA7"/>
    <w:rsid w:val="00F72044"/>
    <w:rsid w:val="00F72296"/>
    <w:rsid w:val="00F73092"/>
    <w:rsid w:val="00F7322A"/>
    <w:rsid w:val="00F7322B"/>
    <w:rsid w:val="00F74118"/>
    <w:rsid w:val="00F74A1D"/>
    <w:rsid w:val="00F74A8D"/>
    <w:rsid w:val="00F750B7"/>
    <w:rsid w:val="00F77038"/>
    <w:rsid w:val="00F77105"/>
    <w:rsid w:val="00F809BF"/>
    <w:rsid w:val="00F80D93"/>
    <w:rsid w:val="00F81CAE"/>
    <w:rsid w:val="00F81D24"/>
    <w:rsid w:val="00F81FFF"/>
    <w:rsid w:val="00F825D5"/>
    <w:rsid w:val="00F834C5"/>
    <w:rsid w:val="00F837A1"/>
    <w:rsid w:val="00F844C4"/>
    <w:rsid w:val="00F846EA"/>
    <w:rsid w:val="00F848BD"/>
    <w:rsid w:val="00F84FA9"/>
    <w:rsid w:val="00F85DAA"/>
    <w:rsid w:val="00F8644C"/>
    <w:rsid w:val="00F86D91"/>
    <w:rsid w:val="00F8798A"/>
    <w:rsid w:val="00F87FC8"/>
    <w:rsid w:val="00F9006C"/>
    <w:rsid w:val="00F9017E"/>
    <w:rsid w:val="00F90548"/>
    <w:rsid w:val="00F90873"/>
    <w:rsid w:val="00F9100D"/>
    <w:rsid w:val="00F914AF"/>
    <w:rsid w:val="00F91970"/>
    <w:rsid w:val="00F92A5B"/>
    <w:rsid w:val="00F92B54"/>
    <w:rsid w:val="00F9300F"/>
    <w:rsid w:val="00F93225"/>
    <w:rsid w:val="00F9323F"/>
    <w:rsid w:val="00F932DE"/>
    <w:rsid w:val="00F954FD"/>
    <w:rsid w:val="00F95F28"/>
    <w:rsid w:val="00F9639B"/>
    <w:rsid w:val="00F96A5C"/>
    <w:rsid w:val="00F96C43"/>
    <w:rsid w:val="00FA0EC7"/>
    <w:rsid w:val="00FA12A0"/>
    <w:rsid w:val="00FA137D"/>
    <w:rsid w:val="00FA1438"/>
    <w:rsid w:val="00FA22BE"/>
    <w:rsid w:val="00FA5439"/>
    <w:rsid w:val="00FA5D53"/>
    <w:rsid w:val="00FA6948"/>
    <w:rsid w:val="00FA6C08"/>
    <w:rsid w:val="00FA6E67"/>
    <w:rsid w:val="00FA7BB3"/>
    <w:rsid w:val="00FB0065"/>
    <w:rsid w:val="00FB0BD0"/>
    <w:rsid w:val="00FB0FDF"/>
    <w:rsid w:val="00FB14A0"/>
    <w:rsid w:val="00FB1F1D"/>
    <w:rsid w:val="00FB22E5"/>
    <w:rsid w:val="00FB2626"/>
    <w:rsid w:val="00FB2FB8"/>
    <w:rsid w:val="00FB3461"/>
    <w:rsid w:val="00FB3A68"/>
    <w:rsid w:val="00FB4057"/>
    <w:rsid w:val="00FB40D2"/>
    <w:rsid w:val="00FB469B"/>
    <w:rsid w:val="00FB47A0"/>
    <w:rsid w:val="00FB4E10"/>
    <w:rsid w:val="00FB5763"/>
    <w:rsid w:val="00FB5C22"/>
    <w:rsid w:val="00FB7A22"/>
    <w:rsid w:val="00FC0202"/>
    <w:rsid w:val="00FC0910"/>
    <w:rsid w:val="00FC152B"/>
    <w:rsid w:val="00FC1A70"/>
    <w:rsid w:val="00FC2517"/>
    <w:rsid w:val="00FC2EEF"/>
    <w:rsid w:val="00FC3CB6"/>
    <w:rsid w:val="00FC3EED"/>
    <w:rsid w:val="00FC409B"/>
    <w:rsid w:val="00FC46CB"/>
    <w:rsid w:val="00FC5B1E"/>
    <w:rsid w:val="00FC5FCF"/>
    <w:rsid w:val="00FC672B"/>
    <w:rsid w:val="00FC7AE7"/>
    <w:rsid w:val="00FC7CFA"/>
    <w:rsid w:val="00FD19AA"/>
    <w:rsid w:val="00FD21EF"/>
    <w:rsid w:val="00FD2C9A"/>
    <w:rsid w:val="00FD3146"/>
    <w:rsid w:val="00FD3E03"/>
    <w:rsid w:val="00FD577E"/>
    <w:rsid w:val="00FD7FCB"/>
    <w:rsid w:val="00FE0627"/>
    <w:rsid w:val="00FE18D3"/>
    <w:rsid w:val="00FE2035"/>
    <w:rsid w:val="00FE2200"/>
    <w:rsid w:val="00FE330C"/>
    <w:rsid w:val="00FE4607"/>
    <w:rsid w:val="00FE4955"/>
    <w:rsid w:val="00FE5C10"/>
    <w:rsid w:val="00FE5FA4"/>
    <w:rsid w:val="00FE666E"/>
    <w:rsid w:val="00FE679E"/>
    <w:rsid w:val="00FE6FC7"/>
    <w:rsid w:val="00FE713E"/>
    <w:rsid w:val="00FE77D9"/>
    <w:rsid w:val="00FE78BB"/>
    <w:rsid w:val="00FE7BB5"/>
    <w:rsid w:val="00FE7FE7"/>
    <w:rsid w:val="00FF0403"/>
    <w:rsid w:val="00FF04D1"/>
    <w:rsid w:val="00FF0CCA"/>
    <w:rsid w:val="00FF0FC6"/>
    <w:rsid w:val="00FF1AAB"/>
    <w:rsid w:val="00FF1D70"/>
    <w:rsid w:val="00FF2027"/>
    <w:rsid w:val="00FF301F"/>
    <w:rsid w:val="00FF3033"/>
    <w:rsid w:val="00FF30C4"/>
    <w:rsid w:val="00FF3742"/>
    <w:rsid w:val="00FF3D2B"/>
    <w:rsid w:val="00FF4260"/>
    <w:rsid w:val="00FF4BCE"/>
    <w:rsid w:val="00FF4D29"/>
    <w:rsid w:val="00FF555F"/>
    <w:rsid w:val="00FF57D8"/>
    <w:rsid w:val="00FF6090"/>
    <w:rsid w:val="00FF678C"/>
    <w:rsid w:val="00FF6B4B"/>
    <w:rsid w:val="00FF6D4C"/>
    <w:rsid w:val="00FF6E59"/>
    <w:rsid w:val="00FF734A"/>
    <w:rsid w:val="00FF7893"/>
    <w:rsid w:val="00FF7952"/>
    <w:rsid w:val="0205E1CB"/>
    <w:rsid w:val="02E13833"/>
    <w:rsid w:val="0305677D"/>
    <w:rsid w:val="030BF70E"/>
    <w:rsid w:val="034617FE"/>
    <w:rsid w:val="03AEC9B6"/>
    <w:rsid w:val="03F7B121"/>
    <w:rsid w:val="04C003DE"/>
    <w:rsid w:val="051E4103"/>
    <w:rsid w:val="056729D9"/>
    <w:rsid w:val="061324F5"/>
    <w:rsid w:val="066624F5"/>
    <w:rsid w:val="070B3273"/>
    <w:rsid w:val="08FB2EF7"/>
    <w:rsid w:val="090E4377"/>
    <w:rsid w:val="0917A117"/>
    <w:rsid w:val="092B3399"/>
    <w:rsid w:val="096E05AE"/>
    <w:rsid w:val="09EEE2A9"/>
    <w:rsid w:val="0A35A64F"/>
    <w:rsid w:val="0C8DDFD4"/>
    <w:rsid w:val="0E694954"/>
    <w:rsid w:val="1014FB10"/>
    <w:rsid w:val="104951EE"/>
    <w:rsid w:val="11144544"/>
    <w:rsid w:val="132BE447"/>
    <w:rsid w:val="133B8E71"/>
    <w:rsid w:val="137E2591"/>
    <w:rsid w:val="144D6F05"/>
    <w:rsid w:val="15F00894"/>
    <w:rsid w:val="1737F97C"/>
    <w:rsid w:val="18DBAB07"/>
    <w:rsid w:val="1942C9F1"/>
    <w:rsid w:val="1B157C9D"/>
    <w:rsid w:val="1BDDD5A5"/>
    <w:rsid w:val="1C8F6430"/>
    <w:rsid w:val="1C94298D"/>
    <w:rsid w:val="1CBE2FCE"/>
    <w:rsid w:val="1D06E74C"/>
    <w:rsid w:val="1DA8E720"/>
    <w:rsid w:val="1F3695E7"/>
    <w:rsid w:val="212004B7"/>
    <w:rsid w:val="21554C43"/>
    <w:rsid w:val="21D667F3"/>
    <w:rsid w:val="229D98B3"/>
    <w:rsid w:val="22B5A306"/>
    <w:rsid w:val="23CD8986"/>
    <w:rsid w:val="2485DAF4"/>
    <w:rsid w:val="252A833F"/>
    <w:rsid w:val="26AAA264"/>
    <w:rsid w:val="27E56017"/>
    <w:rsid w:val="28129D60"/>
    <w:rsid w:val="287536AF"/>
    <w:rsid w:val="28B2B052"/>
    <w:rsid w:val="295BFAA1"/>
    <w:rsid w:val="29C618F0"/>
    <w:rsid w:val="2B443BE4"/>
    <w:rsid w:val="2CF0A50C"/>
    <w:rsid w:val="2D0A9BFF"/>
    <w:rsid w:val="2D8649AE"/>
    <w:rsid w:val="2E5D973B"/>
    <w:rsid w:val="304B9BF0"/>
    <w:rsid w:val="3110CCCF"/>
    <w:rsid w:val="311FD1FF"/>
    <w:rsid w:val="3204C293"/>
    <w:rsid w:val="330BB250"/>
    <w:rsid w:val="33BBC085"/>
    <w:rsid w:val="3518DB5D"/>
    <w:rsid w:val="353FEF2A"/>
    <w:rsid w:val="35693AFC"/>
    <w:rsid w:val="359F4703"/>
    <w:rsid w:val="35CA3717"/>
    <w:rsid w:val="36813AA4"/>
    <w:rsid w:val="373F6D82"/>
    <w:rsid w:val="387610D8"/>
    <w:rsid w:val="3940F536"/>
    <w:rsid w:val="39756A79"/>
    <w:rsid w:val="39DA4760"/>
    <w:rsid w:val="39E6FA43"/>
    <w:rsid w:val="3A050F3B"/>
    <w:rsid w:val="3AA56D87"/>
    <w:rsid w:val="3B541152"/>
    <w:rsid w:val="3CA0CB07"/>
    <w:rsid w:val="3D899E0F"/>
    <w:rsid w:val="3DC5AC54"/>
    <w:rsid w:val="3EAE4FFB"/>
    <w:rsid w:val="3F443E01"/>
    <w:rsid w:val="42CED1CD"/>
    <w:rsid w:val="457E44CE"/>
    <w:rsid w:val="45A1B60F"/>
    <w:rsid w:val="46385DA7"/>
    <w:rsid w:val="49411341"/>
    <w:rsid w:val="49957407"/>
    <w:rsid w:val="49A0F1AF"/>
    <w:rsid w:val="4BC1688C"/>
    <w:rsid w:val="4CF25EE0"/>
    <w:rsid w:val="4D3B7C6A"/>
    <w:rsid w:val="4DD2B4A3"/>
    <w:rsid w:val="51BC02C8"/>
    <w:rsid w:val="531C7AED"/>
    <w:rsid w:val="53BB2F77"/>
    <w:rsid w:val="5409D675"/>
    <w:rsid w:val="54FF3A7B"/>
    <w:rsid w:val="55CD87D0"/>
    <w:rsid w:val="570EBF6A"/>
    <w:rsid w:val="58C1BEEF"/>
    <w:rsid w:val="5938E3AF"/>
    <w:rsid w:val="5A0367C6"/>
    <w:rsid w:val="5E5FAD0F"/>
    <w:rsid w:val="5EA8C500"/>
    <w:rsid w:val="5ED025E6"/>
    <w:rsid w:val="5EECBED5"/>
    <w:rsid w:val="60B7E232"/>
    <w:rsid w:val="6274B758"/>
    <w:rsid w:val="62F000D9"/>
    <w:rsid w:val="64A9A880"/>
    <w:rsid w:val="6582BE26"/>
    <w:rsid w:val="66238222"/>
    <w:rsid w:val="6626415B"/>
    <w:rsid w:val="66B87921"/>
    <w:rsid w:val="675D0552"/>
    <w:rsid w:val="681AD686"/>
    <w:rsid w:val="68D5019D"/>
    <w:rsid w:val="690C6604"/>
    <w:rsid w:val="69C3BE71"/>
    <w:rsid w:val="69EDC796"/>
    <w:rsid w:val="6C496169"/>
    <w:rsid w:val="6C89061B"/>
    <w:rsid w:val="6C98D7C6"/>
    <w:rsid w:val="6CFE9EEA"/>
    <w:rsid w:val="6D525B42"/>
    <w:rsid w:val="6DA33ACB"/>
    <w:rsid w:val="6E2AA1E3"/>
    <w:rsid w:val="6E304FD7"/>
    <w:rsid w:val="6E6B13E9"/>
    <w:rsid w:val="7012CCE4"/>
    <w:rsid w:val="7292A06F"/>
    <w:rsid w:val="7325E731"/>
    <w:rsid w:val="7572A40D"/>
    <w:rsid w:val="77E23626"/>
    <w:rsid w:val="7896F2E6"/>
    <w:rsid w:val="78B3604A"/>
    <w:rsid w:val="7913B442"/>
    <w:rsid w:val="7C4B8F1F"/>
    <w:rsid w:val="7C62CF82"/>
    <w:rsid w:val="7CA72203"/>
    <w:rsid w:val="7CB5F462"/>
    <w:rsid w:val="7D22BD0B"/>
    <w:rsid w:val="7D40B8CD"/>
    <w:rsid w:val="7F301B1B"/>
    <w:rsid w:val="7FED084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A852B"/>
  <w15:chartTrackingRefBased/>
  <w15:docId w15:val="{9F728D02-9498-4E62-99A1-234D0D9D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3910"/>
  </w:style>
  <w:style w:type="paragraph" w:styleId="Kop1">
    <w:name w:val="heading 1"/>
    <w:basedOn w:val="Standaard"/>
    <w:link w:val="Kop1Char"/>
    <w:uiPriority w:val="9"/>
    <w:qFormat/>
    <w:rsid w:val="000F01A6"/>
    <w:pPr>
      <w:widowControl w:val="0"/>
      <w:autoSpaceDE w:val="0"/>
      <w:autoSpaceDN w:val="0"/>
      <w:spacing w:after="0" w:line="240" w:lineRule="auto"/>
      <w:ind w:left="219"/>
      <w:outlineLvl w:val="0"/>
    </w:pPr>
    <w:rPr>
      <w:rFonts w:ascii="Verdana" w:eastAsia="Verdana" w:hAnsi="Verdana" w:cs="Verdana"/>
      <w:b/>
      <w:bCs/>
      <w:sz w:val="20"/>
      <w:szCs w:val="20"/>
    </w:rPr>
  </w:style>
  <w:style w:type="paragraph" w:styleId="Kop2">
    <w:name w:val="heading 2"/>
    <w:basedOn w:val="Standaard"/>
    <w:next w:val="Standaard"/>
    <w:link w:val="Kop2Char"/>
    <w:uiPriority w:val="9"/>
    <w:unhideWhenUsed/>
    <w:qFormat/>
    <w:rsid w:val="00634F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4">
    <w:name w:val="heading 4"/>
    <w:basedOn w:val="Standaard"/>
    <w:next w:val="Standaard"/>
    <w:link w:val="Kop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C0C77"/>
    <w:rPr>
      <w:color w:val="0563C1" w:themeColor="hyperlink"/>
      <w:u w:val="single"/>
    </w:rPr>
  </w:style>
  <w:style w:type="character" w:styleId="Onopgelostemelding">
    <w:name w:val="Unresolved Mention"/>
    <w:basedOn w:val="Standaardalinea-lettertype"/>
    <w:uiPriority w:val="99"/>
    <w:semiHidden/>
    <w:unhideWhenUsed/>
    <w:rsid w:val="002C0C77"/>
    <w:rPr>
      <w:color w:val="605E5C"/>
      <w:shd w:val="clear" w:color="auto" w:fill="E1DFDD"/>
    </w:rPr>
  </w:style>
  <w:style w:type="paragraph" w:styleId="Voettekst">
    <w:name w:val="footer"/>
    <w:basedOn w:val="Standaard"/>
    <w:link w:val="VoettekstChar"/>
    <w:uiPriority w:val="99"/>
    <w:unhideWhenUsed/>
    <w:rsid w:val="002C0C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0C77"/>
  </w:style>
  <w:style w:type="paragraph" w:styleId="Plattetekst">
    <w:name w:val="Body Text"/>
    <w:basedOn w:val="Standaard"/>
    <w:link w:val="PlattetekstChar"/>
    <w:uiPriority w:val="1"/>
    <w:qFormat/>
    <w:rsid w:val="0054638D"/>
    <w:pPr>
      <w:widowControl w:val="0"/>
      <w:autoSpaceDE w:val="0"/>
      <w:autoSpaceDN w:val="0"/>
      <w:spacing w:after="0" w:line="240" w:lineRule="auto"/>
    </w:pPr>
    <w:rPr>
      <w:rFonts w:ascii="Verdana" w:eastAsia="Verdana" w:hAnsi="Verdana" w:cs="Verdana"/>
      <w:sz w:val="20"/>
      <w:szCs w:val="20"/>
    </w:rPr>
  </w:style>
  <w:style w:type="character" w:customStyle="1" w:styleId="PlattetekstChar">
    <w:name w:val="Platte tekst Char"/>
    <w:basedOn w:val="Standaardalinea-lettertype"/>
    <w:link w:val="Plattetekst"/>
    <w:uiPriority w:val="1"/>
    <w:rsid w:val="0054638D"/>
    <w:rPr>
      <w:rFonts w:ascii="Verdana" w:eastAsia="Verdana" w:hAnsi="Verdana" w:cs="Verdana"/>
      <w:sz w:val="20"/>
      <w:szCs w:val="20"/>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54638D"/>
    <w:pPr>
      <w:ind w:left="720"/>
      <w:contextualSpacing/>
    </w:pPr>
  </w:style>
  <w:style w:type="paragraph" w:styleId="Voetnoottekst">
    <w:name w:val="footnote text"/>
    <w:basedOn w:val="Standaard"/>
    <w:link w:val="VoetnoottekstChar"/>
    <w:uiPriority w:val="99"/>
    <w:unhideWhenUsed/>
    <w:rsid w:val="0091048C"/>
    <w:pPr>
      <w:spacing w:after="0" w:line="240" w:lineRule="auto"/>
    </w:pPr>
    <w:rPr>
      <w:sz w:val="20"/>
      <w:szCs w:val="20"/>
    </w:rPr>
  </w:style>
  <w:style w:type="character" w:customStyle="1" w:styleId="VoetnoottekstChar">
    <w:name w:val="Voetnoottekst Char"/>
    <w:basedOn w:val="Standaardalinea-lettertype"/>
    <w:link w:val="Voetnoottekst"/>
    <w:uiPriority w:val="99"/>
    <w:rsid w:val="0091048C"/>
    <w:rPr>
      <w:sz w:val="20"/>
      <w:szCs w:val="20"/>
    </w:rPr>
  </w:style>
  <w:style w:type="character" w:styleId="Voetnootmarkering">
    <w:name w:val="footnote reference"/>
    <w:aliases w:val="ftref"/>
    <w:basedOn w:val="Standaardalinea-lettertype"/>
    <w:uiPriority w:val="99"/>
    <w:unhideWhenUsed/>
    <w:rsid w:val="0091048C"/>
    <w:rPr>
      <w:vertAlign w:val="superscript"/>
    </w:rPr>
  </w:style>
  <w:style w:type="character" w:styleId="Verwijzingopmerking">
    <w:name w:val="annotation reference"/>
    <w:basedOn w:val="Standaardalinea-lettertype"/>
    <w:uiPriority w:val="99"/>
    <w:semiHidden/>
    <w:unhideWhenUsed/>
    <w:rsid w:val="007714A4"/>
    <w:rPr>
      <w:sz w:val="16"/>
      <w:szCs w:val="16"/>
    </w:rPr>
  </w:style>
  <w:style w:type="paragraph" w:styleId="Tekstopmerking">
    <w:name w:val="annotation text"/>
    <w:basedOn w:val="Standaard"/>
    <w:link w:val="TekstopmerkingChar"/>
    <w:uiPriority w:val="99"/>
    <w:unhideWhenUsed/>
    <w:rsid w:val="007714A4"/>
    <w:pPr>
      <w:widowControl w:val="0"/>
      <w:autoSpaceDE w:val="0"/>
      <w:autoSpaceDN w:val="0"/>
      <w:spacing w:after="0" w:line="240" w:lineRule="auto"/>
    </w:pPr>
    <w:rPr>
      <w:rFonts w:ascii="Verdana" w:eastAsia="Verdana" w:hAnsi="Verdana" w:cs="Verdana"/>
      <w:sz w:val="20"/>
      <w:szCs w:val="20"/>
    </w:rPr>
  </w:style>
  <w:style w:type="character" w:customStyle="1" w:styleId="TekstopmerkingChar">
    <w:name w:val="Tekst opmerking Char"/>
    <w:basedOn w:val="Standaardalinea-lettertype"/>
    <w:link w:val="Tekstopmerking"/>
    <w:uiPriority w:val="99"/>
    <w:rsid w:val="007714A4"/>
    <w:rPr>
      <w:rFonts w:ascii="Verdana" w:eastAsia="Verdana" w:hAnsi="Verdana" w:cs="Verdana"/>
      <w:sz w:val="20"/>
      <w:szCs w:val="20"/>
    </w:rPr>
  </w:style>
  <w:style w:type="character" w:customStyle="1" w:styleId="Kop1Char">
    <w:name w:val="Kop 1 Char"/>
    <w:basedOn w:val="Standaardalinea-lettertype"/>
    <w:link w:val="Kop1"/>
    <w:uiPriority w:val="9"/>
    <w:rsid w:val="000F01A6"/>
    <w:rPr>
      <w:rFonts w:ascii="Verdana" w:eastAsia="Verdana" w:hAnsi="Verdana" w:cs="Verdana"/>
      <w:b/>
      <w:bCs/>
      <w:sz w:val="20"/>
      <w:szCs w:val="20"/>
    </w:rPr>
  </w:style>
  <w:style w:type="paragraph" w:styleId="Onderwerpvanopmerking">
    <w:name w:val="annotation subject"/>
    <w:basedOn w:val="Tekstopmerking"/>
    <w:next w:val="Tekstopmerking"/>
    <w:link w:val="OnderwerpvanopmerkingChar"/>
    <w:uiPriority w:val="99"/>
    <w:semiHidden/>
    <w:unhideWhenUsed/>
    <w:rsid w:val="009056FD"/>
    <w:pPr>
      <w:widowControl/>
      <w:autoSpaceDE/>
      <w:autoSpaceDN/>
      <w:spacing w:after="16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9056FD"/>
    <w:rPr>
      <w:rFonts w:ascii="Verdana" w:eastAsia="Verdana" w:hAnsi="Verdana" w:cs="Verdana"/>
      <w:b/>
      <w:bCs/>
      <w:sz w:val="20"/>
      <w:szCs w:val="20"/>
    </w:rPr>
  </w:style>
  <w:style w:type="paragraph" w:customStyle="1" w:styleId="al">
    <w:name w:val="al"/>
    <w:basedOn w:val="Standaard"/>
    <w:rsid w:val="008344E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abeled">
    <w:name w:val="labeled"/>
    <w:basedOn w:val="Standaard"/>
    <w:rsid w:val="008344E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8344E1"/>
  </w:style>
  <w:style w:type="paragraph" w:styleId="Titel">
    <w:name w:val="Title"/>
    <w:basedOn w:val="Standaard"/>
    <w:link w:val="TitelChar"/>
    <w:uiPriority w:val="10"/>
    <w:qFormat/>
    <w:rsid w:val="006F3A6E"/>
    <w:pPr>
      <w:widowControl w:val="0"/>
      <w:autoSpaceDE w:val="0"/>
      <w:autoSpaceDN w:val="0"/>
      <w:spacing w:after="0" w:line="245" w:lineRule="exact"/>
      <w:ind w:left="60"/>
    </w:pPr>
    <w:rPr>
      <w:rFonts w:ascii="Calibri" w:eastAsia="Calibri" w:hAnsi="Calibri" w:cs="Calibri"/>
    </w:rPr>
  </w:style>
  <w:style w:type="character" w:customStyle="1" w:styleId="TitelChar">
    <w:name w:val="Titel Char"/>
    <w:basedOn w:val="Standaardalinea-lettertype"/>
    <w:link w:val="Titel"/>
    <w:uiPriority w:val="10"/>
    <w:rsid w:val="006F3A6E"/>
    <w:rPr>
      <w:rFonts w:ascii="Calibri" w:eastAsia="Calibri" w:hAnsi="Calibri" w:cs="Calibri"/>
    </w:rPr>
  </w:style>
  <w:style w:type="paragraph" w:customStyle="1" w:styleId="TableParagraph">
    <w:name w:val="Table Paragraph"/>
    <w:basedOn w:val="Standaard"/>
    <w:uiPriority w:val="1"/>
    <w:qFormat/>
    <w:rsid w:val="006F3A6E"/>
    <w:pPr>
      <w:widowControl w:val="0"/>
      <w:autoSpaceDE w:val="0"/>
      <w:autoSpaceDN w:val="0"/>
      <w:spacing w:after="0" w:line="240" w:lineRule="auto"/>
      <w:ind w:left="107"/>
    </w:pPr>
    <w:rPr>
      <w:rFonts w:ascii="Verdana" w:eastAsia="Verdana" w:hAnsi="Verdana" w:cs="Verdana"/>
    </w:rPr>
  </w:style>
  <w:style w:type="paragraph" w:styleId="Koptekst">
    <w:name w:val="header"/>
    <w:basedOn w:val="Standaard"/>
    <w:link w:val="KoptekstChar"/>
    <w:uiPriority w:val="99"/>
    <w:unhideWhenUsed/>
    <w:rsid w:val="006F3A6E"/>
    <w:pPr>
      <w:widowControl w:val="0"/>
      <w:tabs>
        <w:tab w:val="center" w:pos="4536"/>
        <w:tab w:val="right" w:pos="9072"/>
      </w:tabs>
      <w:autoSpaceDE w:val="0"/>
      <w:autoSpaceDN w:val="0"/>
      <w:spacing w:after="0" w:line="240" w:lineRule="auto"/>
    </w:pPr>
    <w:rPr>
      <w:rFonts w:ascii="Verdana" w:eastAsia="Verdana" w:hAnsi="Verdana" w:cs="Verdana"/>
    </w:rPr>
  </w:style>
  <w:style w:type="character" w:customStyle="1" w:styleId="KoptekstChar">
    <w:name w:val="Koptekst Char"/>
    <w:basedOn w:val="Standaardalinea-lettertype"/>
    <w:link w:val="Koptekst"/>
    <w:uiPriority w:val="99"/>
    <w:rsid w:val="006F3A6E"/>
    <w:rPr>
      <w:rFonts w:ascii="Verdana" w:eastAsia="Verdana" w:hAnsi="Verdana" w:cs="Verdana"/>
    </w:rPr>
  </w:style>
  <w:style w:type="paragraph" w:styleId="Revisie">
    <w:name w:val="Revision"/>
    <w:hidden/>
    <w:uiPriority w:val="99"/>
    <w:semiHidden/>
    <w:rsid w:val="006F3A6E"/>
    <w:pPr>
      <w:spacing w:after="0" w:line="240" w:lineRule="auto"/>
    </w:pPr>
    <w:rPr>
      <w:rFonts w:ascii="Verdana" w:eastAsia="Verdana" w:hAnsi="Verdana" w:cs="Verdana"/>
    </w:rPr>
  </w:style>
  <w:style w:type="character" w:styleId="Regelnummer">
    <w:name w:val="line number"/>
    <w:basedOn w:val="Standaardalinea-lettertype"/>
    <w:uiPriority w:val="99"/>
    <w:semiHidden/>
    <w:unhideWhenUsed/>
    <w:rsid w:val="006F3A6E"/>
  </w:style>
  <w:style w:type="character" w:styleId="Nadruk">
    <w:name w:val="Emphasis"/>
    <w:basedOn w:val="Standaardalinea-lettertype"/>
    <w:uiPriority w:val="20"/>
    <w:qFormat/>
    <w:rsid w:val="00CF6326"/>
    <w:rPr>
      <w:i/>
      <w:iCs/>
    </w:rPr>
  </w:style>
  <w:style w:type="character" w:customStyle="1" w:styleId="cf01">
    <w:name w:val="cf01"/>
    <w:basedOn w:val="Standaardalinea-lettertype"/>
    <w:rsid w:val="00D8394B"/>
    <w:rPr>
      <w:rFonts w:ascii="Segoe UI" w:hAnsi="Segoe UI" w:cs="Segoe UI" w:hint="default"/>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5E3EEE"/>
  </w:style>
  <w:style w:type="paragraph" w:customStyle="1" w:styleId="pf0">
    <w:name w:val="pf0"/>
    <w:basedOn w:val="Standaard"/>
    <w:rsid w:val="00F4537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f1">
    <w:name w:val="pf1"/>
    <w:basedOn w:val="Standaard"/>
    <w:rsid w:val="00F4537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11">
    <w:name w:val="cf11"/>
    <w:basedOn w:val="Standaardalinea-lettertype"/>
    <w:rsid w:val="00F45376"/>
    <w:rPr>
      <w:rFonts w:ascii="Segoe UI" w:hAnsi="Segoe UI" w:cs="Segoe UI" w:hint="default"/>
      <w:sz w:val="18"/>
      <w:szCs w:val="18"/>
    </w:rPr>
  </w:style>
  <w:style w:type="character" w:customStyle="1" w:styleId="cf21">
    <w:name w:val="cf21"/>
    <w:basedOn w:val="Standaardalinea-lettertype"/>
    <w:rsid w:val="00F45376"/>
    <w:rPr>
      <w:rFonts w:ascii="Segoe UI" w:hAnsi="Segoe UI" w:cs="Segoe UI" w:hint="default"/>
      <w:i/>
      <w:iCs/>
      <w:sz w:val="18"/>
      <w:szCs w:val="18"/>
    </w:rPr>
  </w:style>
  <w:style w:type="character" w:customStyle="1" w:styleId="normaltextrun1">
    <w:name w:val="normaltextrun1"/>
    <w:basedOn w:val="Standaardalinea-lettertype"/>
    <w:rsid w:val="00FF301F"/>
  </w:style>
  <w:style w:type="table" w:styleId="Tabelraster">
    <w:name w:val="Table Grid"/>
    <w:basedOn w:val="Standaardtabel"/>
    <w:uiPriority w:val="59"/>
    <w:rsid w:val="00BC496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rPr>
      <w:rFonts w:asciiTheme="majorHAnsi" w:eastAsiaTheme="majorEastAsia" w:hAnsiTheme="majorHAnsi" w:cstheme="majorBidi"/>
      <w:color w:val="2F5496" w:themeColor="accent1" w:themeShade="BF"/>
    </w:rPr>
  </w:style>
  <w:style w:type="character" w:customStyle="1" w:styleId="normaltextrun">
    <w:name w:val="normaltextrun"/>
    <w:basedOn w:val="Standaardalinea-lettertype"/>
    <w:rsid w:val="00FF7893"/>
  </w:style>
  <w:style w:type="paragraph" w:styleId="Normaalweb">
    <w:name w:val="Normal (Web)"/>
    <w:basedOn w:val="Standaard"/>
    <w:uiPriority w:val="99"/>
    <w:semiHidden/>
    <w:unhideWhenUsed/>
    <w:rsid w:val="00A5183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2Char">
    <w:name w:val="Kop 2 Char"/>
    <w:basedOn w:val="Standaardalinea-lettertype"/>
    <w:link w:val="Kop2"/>
    <w:uiPriority w:val="9"/>
    <w:rsid w:val="00634F4F"/>
    <w:rPr>
      <w:rFonts w:asciiTheme="majorHAnsi" w:eastAsiaTheme="majorEastAsia" w:hAnsiTheme="majorHAnsi" w:cstheme="majorBidi"/>
      <w:color w:val="2F5496" w:themeColor="accent1" w:themeShade="BF"/>
      <w:sz w:val="26"/>
      <w:szCs w:val="26"/>
    </w:rPr>
  </w:style>
  <w:style w:type="paragraph" w:styleId="Eindnoottekst">
    <w:name w:val="endnote text"/>
    <w:basedOn w:val="Standaard"/>
    <w:link w:val="EindnoottekstChar"/>
    <w:uiPriority w:val="99"/>
    <w:semiHidden/>
    <w:unhideWhenUsed/>
    <w:rsid w:val="00AC417E"/>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AC417E"/>
    <w:rPr>
      <w:sz w:val="20"/>
      <w:szCs w:val="20"/>
    </w:rPr>
  </w:style>
  <w:style w:type="character" w:styleId="Eindnootmarkering">
    <w:name w:val="endnote reference"/>
    <w:basedOn w:val="Standaardalinea-lettertype"/>
    <w:uiPriority w:val="99"/>
    <w:semiHidden/>
    <w:unhideWhenUsed/>
    <w:rsid w:val="00AC417E"/>
    <w:rPr>
      <w:vertAlign w:val="superscript"/>
    </w:rPr>
  </w:style>
  <w:style w:type="paragraph" w:styleId="Kopvaninhoudsopgave">
    <w:name w:val="TOC Heading"/>
    <w:basedOn w:val="Kop1"/>
    <w:next w:val="Standaard"/>
    <w:uiPriority w:val="39"/>
    <w:unhideWhenUsed/>
    <w:qFormat/>
    <w:rsid w:val="000E03B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eastAsia="nl-NL"/>
    </w:rPr>
  </w:style>
  <w:style w:type="paragraph" w:styleId="Inhopg2">
    <w:name w:val="toc 2"/>
    <w:basedOn w:val="Standaard"/>
    <w:next w:val="Standaard"/>
    <w:autoRedefine/>
    <w:uiPriority w:val="39"/>
    <w:unhideWhenUsed/>
    <w:rsid w:val="000E03B1"/>
    <w:pPr>
      <w:spacing w:after="100"/>
      <w:ind w:left="220"/>
    </w:pPr>
  </w:style>
  <w:style w:type="paragraph" w:styleId="Inhopg1">
    <w:name w:val="toc 1"/>
    <w:basedOn w:val="Standaard"/>
    <w:next w:val="Standaard"/>
    <w:autoRedefine/>
    <w:uiPriority w:val="39"/>
    <w:unhideWhenUsed/>
    <w:rsid w:val="00CB5616"/>
    <w:pPr>
      <w:spacing w:after="100"/>
    </w:pPr>
  </w:style>
  <w:style w:type="paragraph" w:styleId="Inhopg3">
    <w:name w:val="toc 3"/>
    <w:basedOn w:val="Standaard"/>
    <w:next w:val="Standaard"/>
    <w:autoRedefine/>
    <w:uiPriority w:val="39"/>
    <w:unhideWhenUsed/>
    <w:rsid w:val="00CB561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8881">
      <w:bodyDiv w:val="1"/>
      <w:marLeft w:val="0"/>
      <w:marRight w:val="0"/>
      <w:marTop w:val="0"/>
      <w:marBottom w:val="0"/>
      <w:divBdr>
        <w:top w:val="none" w:sz="0" w:space="0" w:color="auto"/>
        <w:left w:val="none" w:sz="0" w:space="0" w:color="auto"/>
        <w:bottom w:val="none" w:sz="0" w:space="0" w:color="auto"/>
        <w:right w:val="none" w:sz="0" w:space="0" w:color="auto"/>
      </w:divBdr>
    </w:div>
    <w:div w:id="59518714">
      <w:bodyDiv w:val="1"/>
      <w:marLeft w:val="0"/>
      <w:marRight w:val="0"/>
      <w:marTop w:val="0"/>
      <w:marBottom w:val="0"/>
      <w:divBdr>
        <w:top w:val="none" w:sz="0" w:space="0" w:color="auto"/>
        <w:left w:val="none" w:sz="0" w:space="0" w:color="auto"/>
        <w:bottom w:val="none" w:sz="0" w:space="0" w:color="auto"/>
        <w:right w:val="none" w:sz="0" w:space="0" w:color="auto"/>
      </w:divBdr>
    </w:div>
    <w:div w:id="85465289">
      <w:bodyDiv w:val="1"/>
      <w:marLeft w:val="0"/>
      <w:marRight w:val="0"/>
      <w:marTop w:val="0"/>
      <w:marBottom w:val="0"/>
      <w:divBdr>
        <w:top w:val="none" w:sz="0" w:space="0" w:color="auto"/>
        <w:left w:val="none" w:sz="0" w:space="0" w:color="auto"/>
        <w:bottom w:val="none" w:sz="0" w:space="0" w:color="auto"/>
        <w:right w:val="none" w:sz="0" w:space="0" w:color="auto"/>
      </w:divBdr>
    </w:div>
    <w:div w:id="89784381">
      <w:bodyDiv w:val="1"/>
      <w:marLeft w:val="0"/>
      <w:marRight w:val="0"/>
      <w:marTop w:val="0"/>
      <w:marBottom w:val="0"/>
      <w:divBdr>
        <w:top w:val="none" w:sz="0" w:space="0" w:color="auto"/>
        <w:left w:val="none" w:sz="0" w:space="0" w:color="auto"/>
        <w:bottom w:val="none" w:sz="0" w:space="0" w:color="auto"/>
        <w:right w:val="none" w:sz="0" w:space="0" w:color="auto"/>
      </w:divBdr>
    </w:div>
    <w:div w:id="141772224">
      <w:bodyDiv w:val="1"/>
      <w:marLeft w:val="0"/>
      <w:marRight w:val="0"/>
      <w:marTop w:val="0"/>
      <w:marBottom w:val="0"/>
      <w:divBdr>
        <w:top w:val="none" w:sz="0" w:space="0" w:color="auto"/>
        <w:left w:val="none" w:sz="0" w:space="0" w:color="auto"/>
        <w:bottom w:val="none" w:sz="0" w:space="0" w:color="auto"/>
        <w:right w:val="none" w:sz="0" w:space="0" w:color="auto"/>
      </w:divBdr>
    </w:div>
    <w:div w:id="142086628">
      <w:bodyDiv w:val="1"/>
      <w:marLeft w:val="0"/>
      <w:marRight w:val="0"/>
      <w:marTop w:val="0"/>
      <w:marBottom w:val="0"/>
      <w:divBdr>
        <w:top w:val="none" w:sz="0" w:space="0" w:color="auto"/>
        <w:left w:val="none" w:sz="0" w:space="0" w:color="auto"/>
        <w:bottom w:val="none" w:sz="0" w:space="0" w:color="auto"/>
        <w:right w:val="none" w:sz="0" w:space="0" w:color="auto"/>
      </w:divBdr>
    </w:div>
    <w:div w:id="148833082">
      <w:bodyDiv w:val="1"/>
      <w:marLeft w:val="0"/>
      <w:marRight w:val="0"/>
      <w:marTop w:val="0"/>
      <w:marBottom w:val="0"/>
      <w:divBdr>
        <w:top w:val="none" w:sz="0" w:space="0" w:color="auto"/>
        <w:left w:val="none" w:sz="0" w:space="0" w:color="auto"/>
        <w:bottom w:val="none" w:sz="0" w:space="0" w:color="auto"/>
        <w:right w:val="none" w:sz="0" w:space="0" w:color="auto"/>
      </w:divBdr>
    </w:div>
    <w:div w:id="156189045">
      <w:bodyDiv w:val="1"/>
      <w:marLeft w:val="0"/>
      <w:marRight w:val="0"/>
      <w:marTop w:val="0"/>
      <w:marBottom w:val="0"/>
      <w:divBdr>
        <w:top w:val="none" w:sz="0" w:space="0" w:color="auto"/>
        <w:left w:val="none" w:sz="0" w:space="0" w:color="auto"/>
        <w:bottom w:val="none" w:sz="0" w:space="0" w:color="auto"/>
        <w:right w:val="none" w:sz="0" w:space="0" w:color="auto"/>
      </w:divBdr>
    </w:div>
    <w:div w:id="157161633">
      <w:bodyDiv w:val="1"/>
      <w:marLeft w:val="0"/>
      <w:marRight w:val="0"/>
      <w:marTop w:val="0"/>
      <w:marBottom w:val="0"/>
      <w:divBdr>
        <w:top w:val="none" w:sz="0" w:space="0" w:color="auto"/>
        <w:left w:val="none" w:sz="0" w:space="0" w:color="auto"/>
        <w:bottom w:val="none" w:sz="0" w:space="0" w:color="auto"/>
        <w:right w:val="none" w:sz="0" w:space="0" w:color="auto"/>
      </w:divBdr>
    </w:div>
    <w:div w:id="171065894">
      <w:bodyDiv w:val="1"/>
      <w:marLeft w:val="0"/>
      <w:marRight w:val="0"/>
      <w:marTop w:val="0"/>
      <w:marBottom w:val="0"/>
      <w:divBdr>
        <w:top w:val="none" w:sz="0" w:space="0" w:color="auto"/>
        <w:left w:val="none" w:sz="0" w:space="0" w:color="auto"/>
        <w:bottom w:val="none" w:sz="0" w:space="0" w:color="auto"/>
        <w:right w:val="none" w:sz="0" w:space="0" w:color="auto"/>
      </w:divBdr>
    </w:div>
    <w:div w:id="175773831">
      <w:bodyDiv w:val="1"/>
      <w:marLeft w:val="0"/>
      <w:marRight w:val="0"/>
      <w:marTop w:val="0"/>
      <w:marBottom w:val="0"/>
      <w:divBdr>
        <w:top w:val="none" w:sz="0" w:space="0" w:color="auto"/>
        <w:left w:val="none" w:sz="0" w:space="0" w:color="auto"/>
        <w:bottom w:val="none" w:sz="0" w:space="0" w:color="auto"/>
        <w:right w:val="none" w:sz="0" w:space="0" w:color="auto"/>
      </w:divBdr>
    </w:div>
    <w:div w:id="213583978">
      <w:bodyDiv w:val="1"/>
      <w:marLeft w:val="0"/>
      <w:marRight w:val="0"/>
      <w:marTop w:val="0"/>
      <w:marBottom w:val="0"/>
      <w:divBdr>
        <w:top w:val="none" w:sz="0" w:space="0" w:color="auto"/>
        <w:left w:val="none" w:sz="0" w:space="0" w:color="auto"/>
        <w:bottom w:val="none" w:sz="0" w:space="0" w:color="auto"/>
        <w:right w:val="none" w:sz="0" w:space="0" w:color="auto"/>
      </w:divBdr>
    </w:div>
    <w:div w:id="218712135">
      <w:bodyDiv w:val="1"/>
      <w:marLeft w:val="0"/>
      <w:marRight w:val="0"/>
      <w:marTop w:val="0"/>
      <w:marBottom w:val="0"/>
      <w:divBdr>
        <w:top w:val="none" w:sz="0" w:space="0" w:color="auto"/>
        <w:left w:val="none" w:sz="0" w:space="0" w:color="auto"/>
        <w:bottom w:val="none" w:sz="0" w:space="0" w:color="auto"/>
        <w:right w:val="none" w:sz="0" w:space="0" w:color="auto"/>
      </w:divBdr>
    </w:div>
    <w:div w:id="251748044">
      <w:bodyDiv w:val="1"/>
      <w:marLeft w:val="0"/>
      <w:marRight w:val="0"/>
      <w:marTop w:val="0"/>
      <w:marBottom w:val="0"/>
      <w:divBdr>
        <w:top w:val="none" w:sz="0" w:space="0" w:color="auto"/>
        <w:left w:val="none" w:sz="0" w:space="0" w:color="auto"/>
        <w:bottom w:val="none" w:sz="0" w:space="0" w:color="auto"/>
        <w:right w:val="none" w:sz="0" w:space="0" w:color="auto"/>
      </w:divBdr>
    </w:div>
    <w:div w:id="279993318">
      <w:bodyDiv w:val="1"/>
      <w:marLeft w:val="0"/>
      <w:marRight w:val="0"/>
      <w:marTop w:val="0"/>
      <w:marBottom w:val="0"/>
      <w:divBdr>
        <w:top w:val="none" w:sz="0" w:space="0" w:color="auto"/>
        <w:left w:val="none" w:sz="0" w:space="0" w:color="auto"/>
        <w:bottom w:val="none" w:sz="0" w:space="0" w:color="auto"/>
        <w:right w:val="none" w:sz="0" w:space="0" w:color="auto"/>
      </w:divBdr>
    </w:div>
    <w:div w:id="336546290">
      <w:bodyDiv w:val="1"/>
      <w:marLeft w:val="0"/>
      <w:marRight w:val="0"/>
      <w:marTop w:val="0"/>
      <w:marBottom w:val="0"/>
      <w:divBdr>
        <w:top w:val="none" w:sz="0" w:space="0" w:color="auto"/>
        <w:left w:val="none" w:sz="0" w:space="0" w:color="auto"/>
        <w:bottom w:val="none" w:sz="0" w:space="0" w:color="auto"/>
        <w:right w:val="none" w:sz="0" w:space="0" w:color="auto"/>
      </w:divBdr>
    </w:div>
    <w:div w:id="376396746">
      <w:bodyDiv w:val="1"/>
      <w:marLeft w:val="0"/>
      <w:marRight w:val="0"/>
      <w:marTop w:val="0"/>
      <w:marBottom w:val="0"/>
      <w:divBdr>
        <w:top w:val="none" w:sz="0" w:space="0" w:color="auto"/>
        <w:left w:val="none" w:sz="0" w:space="0" w:color="auto"/>
        <w:bottom w:val="none" w:sz="0" w:space="0" w:color="auto"/>
        <w:right w:val="none" w:sz="0" w:space="0" w:color="auto"/>
      </w:divBdr>
    </w:div>
    <w:div w:id="395904382">
      <w:bodyDiv w:val="1"/>
      <w:marLeft w:val="0"/>
      <w:marRight w:val="0"/>
      <w:marTop w:val="0"/>
      <w:marBottom w:val="0"/>
      <w:divBdr>
        <w:top w:val="none" w:sz="0" w:space="0" w:color="auto"/>
        <w:left w:val="none" w:sz="0" w:space="0" w:color="auto"/>
        <w:bottom w:val="none" w:sz="0" w:space="0" w:color="auto"/>
        <w:right w:val="none" w:sz="0" w:space="0" w:color="auto"/>
      </w:divBdr>
    </w:div>
    <w:div w:id="430125906">
      <w:bodyDiv w:val="1"/>
      <w:marLeft w:val="0"/>
      <w:marRight w:val="0"/>
      <w:marTop w:val="0"/>
      <w:marBottom w:val="0"/>
      <w:divBdr>
        <w:top w:val="none" w:sz="0" w:space="0" w:color="auto"/>
        <w:left w:val="none" w:sz="0" w:space="0" w:color="auto"/>
        <w:bottom w:val="none" w:sz="0" w:space="0" w:color="auto"/>
        <w:right w:val="none" w:sz="0" w:space="0" w:color="auto"/>
      </w:divBdr>
      <w:divsChild>
        <w:div w:id="181404030">
          <w:marLeft w:val="0"/>
          <w:marRight w:val="0"/>
          <w:marTop w:val="0"/>
          <w:marBottom w:val="0"/>
          <w:divBdr>
            <w:top w:val="none" w:sz="0" w:space="0" w:color="auto"/>
            <w:left w:val="none" w:sz="0" w:space="0" w:color="auto"/>
            <w:bottom w:val="none" w:sz="0" w:space="0" w:color="auto"/>
            <w:right w:val="none" w:sz="0" w:space="0" w:color="auto"/>
          </w:divBdr>
        </w:div>
        <w:div w:id="805775547">
          <w:marLeft w:val="0"/>
          <w:marRight w:val="0"/>
          <w:marTop w:val="240"/>
          <w:marBottom w:val="0"/>
          <w:divBdr>
            <w:top w:val="none" w:sz="0" w:space="0" w:color="auto"/>
            <w:left w:val="none" w:sz="0" w:space="0" w:color="auto"/>
            <w:bottom w:val="none" w:sz="0" w:space="0" w:color="auto"/>
            <w:right w:val="none" w:sz="0" w:space="0" w:color="auto"/>
          </w:divBdr>
        </w:div>
        <w:div w:id="639110656">
          <w:marLeft w:val="0"/>
          <w:marRight w:val="0"/>
          <w:marTop w:val="240"/>
          <w:marBottom w:val="0"/>
          <w:divBdr>
            <w:top w:val="none" w:sz="0" w:space="0" w:color="auto"/>
            <w:left w:val="none" w:sz="0" w:space="0" w:color="auto"/>
            <w:bottom w:val="none" w:sz="0" w:space="0" w:color="auto"/>
            <w:right w:val="none" w:sz="0" w:space="0" w:color="auto"/>
          </w:divBdr>
        </w:div>
      </w:divsChild>
    </w:div>
    <w:div w:id="434983312">
      <w:bodyDiv w:val="1"/>
      <w:marLeft w:val="0"/>
      <w:marRight w:val="0"/>
      <w:marTop w:val="0"/>
      <w:marBottom w:val="0"/>
      <w:divBdr>
        <w:top w:val="none" w:sz="0" w:space="0" w:color="auto"/>
        <w:left w:val="none" w:sz="0" w:space="0" w:color="auto"/>
        <w:bottom w:val="none" w:sz="0" w:space="0" w:color="auto"/>
        <w:right w:val="none" w:sz="0" w:space="0" w:color="auto"/>
      </w:divBdr>
    </w:div>
    <w:div w:id="442307138">
      <w:bodyDiv w:val="1"/>
      <w:marLeft w:val="0"/>
      <w:marRight w:val="0"/>
      <w:marTop w:val="0"/>
      <w:marBottom w:val="0"/>
      <w:divBdr>
        <w:top w:val="none" w:sz="0" w:space="0" w:color="auto"/>
        <w:left w:val="none" w:sz="0" w:space="0" w:color="auto"/>
        <w:bottom w:val="none" w:sz="0" w:space="0" w:color="auto"/>
        <w:right w:val="none" w:sz="0" w:space="0" w:color="auto"/>
      </w:divBdr>
    </w:div>
    <w:div w:id="497309392">
      <w:bodyDiv w:val="1"/>
      <w:marLeft w:val="0"/>
      <w:marRight w:val="0"/>
      <w:marTop w:val="0"/>
      <w:marBottom w:val="0"/>
      <w:divBdr>
        <w:top w:val="none" w:sz="0" w:space="0" w:color="auto"/>
        <w:left w:val="none" w:sz="0" w:space="0" w:color="auto"/>
        <w:bottom w:val="none" w:sz="0" w:space="0" w:color="auto"/>
        <w:right w:val="none" w:sz="0" w:space="0" w:color="auto"/>
      </w:divBdr>
      <w:divsChild>
        <w:div w:id="1741445606">
          <w:marLeft w:val="0"/>
          <w:marRight w:val="0"/>
          <w:marTop w:val="0"/>
          <w:marBottom w:val="0"/>
          <w:divBdr>
            <w:top w:val="none" w:sz="0" w:space="0" w:color="auto"/>
            <w:left w:val="none" w:sz="0" w:space="0" w:color="auto"/>
            <w:bottom w:val="none" w:sz="0" w:space="0" w:color="auto"/>
            <w:right w:val="none" w:sz="0" w:space="0" w:color="auto"/>
          </w:divBdr>
          <w:divsChild>
            <w:div w:id="1206218110">
              <w:marLeft w:val="0"/>
              <w:marRight w:val="0"/>
              <w:marTop w:val="0"/>
              <w:marBottom w:val="0"/>
              <w:divBdr>
                <w:top w:val="none" w:sz="0" w:space="0" w:color="auto"/>
                <w:left w:val="none" w:sz="0" w:space="0" w:color="auto"/>
                <w:bottom w:val="none" w:sz="0" w:space="0" w:color="auto"/>
                <w:right w:val="none" w:sz="0" w:space="0" w:color="auto"/>
              </w:divBdr>
              <w:divsChild>
                <w:div w:id="587469293">
                  <w:marLeft w:val="0"/>
                  <w:marRight w:val="0"/>
                  <w:marTop w:val="60"/>
                  <w:marBottom w:val="60"/>
                  <w:divBdr>
                    <w:top w:val="none" w:sz="0" w:space="0" w:color="auto"/>
                    <w:left w:val="none" w:sz="0" w:space="0" w:color="auto"/>
                    <w:bottom w:val="none" w:sz="0" w:space="0" w:color="auto"/>
                    <w:right w:val="none" w:sz="0" w:space="0" w:color="auto"/>
                  </w:divBdr>
                </w:div>
              </w:divsChild>
            </w:div>
            <w:div w:id="1205676054">
              <w:marLeft w:val="0"/>
              <w:marRight w:val="0"/>
              <w:marTop w:val="0"/>
              <w:marBottom w:val="0"/>
              <w:divBdr>
                <w:top w:val="none" w:sz="0" w:space="0" w:color="auto"/>
                <w:left w:val="none" w:sz="0" w:space="0" w:color="auto"/>
                <w:bottom w:val="none" w:sz="0" w:space="0" w:color="auto"/>
                <w:right w:val="none" w:sz="0" w:space="0" w:color="auto"/>
              </w:divBdr>
              <w:divsChild>
                <w:div w:id="730889396">
                  <w:marLeft w:val="0"/>
                  <w:marRight w:val="0"/>
                  <w:marTop w:val="60"/>
                  <w:marBottom w:val="60"/>
                  <w:divBdr>
                    <w:top w:val="none" w:sz="0" w:space="0" w:color="auto"/>
                    <w:left w:val="none" w:sz="0" w:space="0" w:color="auto"/>
                    <w:bottom w:val="none" w:sz="0" w:space="0" w:color="auto"/>
                    <w:right w:val="none" w:sz="0" w:space="0" w:color="auto"/>
                  </w:divBdr>
                </w:div>
              </w:divsChild>
            </w:div>
            <w:div w:id="689339763">
              <w:marLeft w:val="0"/>
              <w:marRight w:val="0"/>
              <w:marTop w:val="0"/>
              <w:marBottom w:val="0"/>
              <w:divBdr>
                <w:top w:val="none" w:sz="0" w:space="0" w:color="auto"/>
                <w:left w:val="none" w:sz="0" w:space="0" w:color="auto"/>
                <w:bottom w:val="none" w:sz="0" w:space="0" w:color="auto"/>
                <w:right w:val="none" w:sz="0" w:space="0" w:color="auto"/>
              </w:divBdr>
              <w:divsChild>
                <w:div w:id="1781562334">
                  <w:marLeft w:val="0"/>
                  <w:marRight w:val="0"/>
                  <w:marTop w:val="60"/>
                  <w:marBottom w:val="60"/>
                  <w:divBdr>
                    <w:top w:val="none" w:sz="0" w:space="0" w:color="auto"/>
                    <w:left w:val="none" w:sz="0" w:space="0" w:color="auto"/>
                    <w:bottom w:val="none" w:sz="0" w:space="0" w:color="auto"/>
                    <w:right w:val="none" w:sz="0" w:space="0" w:color="auto"/>
                  </w:divBdr>
                </w:div>
              </w:divsChild>
            </w:div>
            <w:div w:id="808353558">
              <w:marLeft w:val="0"/>
              <w:marRight w:val="0"/>
              <w:marTop w:val="0"/>
              <w:marBottom w:val="0"/>
              <w:divBdr>
                <w:top w:val="none" w:sz="0" w:space="0" w:color="auto"/>
                <w:left w:val="none" w:sz="0" w:space="0" w:color="auto"/>
                <w:bottom w:val="none" w:sz="0" w:space="0" w:color="auto"/>
                <w:right w:val="none" w:sz="0" w:space="0" w:color="auto"/>
              </w:divBdr>
              <w:divsChild>
                <w:div w:id="1699159263">
                  <w:marLeft w:val="0"/>
                  <w:marRight w:val="0"/>
                  <w:marTop w:val="60"/>
                  <w:marBottom w:val="60"/>
                  <w:divBdr>
                    <w:top w:val="none" w:sz="0" w:space="0" w:color="auto"/>
                    <w:left w:val="none" w:sz="0" w:space="0" w:color="auto"/>
                    <w:bottom w:val="none" w:sz="0" w:space="0" w:color="auto"/>
                    <w:right w:val="none" w:sz="0" w:space="0" w:color="auto"/>
                  </w:divBdr>
                </w:div>
              </w:divsChild>
            </w:div>
            <w:div w:id="1751078784">
              <w:marLeft w:val="0"/>
              <w:marRight w:val="0"/>
              <w:marTop w:val="0"/>
              <w:marBottom w:val="0"/>
              <w:divBdr>
                <w:top w:val="none" w:sz="0" w:space="0" w:color="auto"/>
                <w:left w:val="none" w:sz="0" w:space="0" w:color="auto"/>
                <w:bottom w:val="none" w:sz="0" w:space="0" w:color="auto"/>
                <w:right w:val="none" w:sz="0" w:space="0" w:color="auto"/>
              </w:divBdr>
              <w:divsChild>
                <w:div w:id="9872254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754789723">
          <w:marLeft w:val="0"/>
          <w:marRight w:val="0"/>
          <w:marTop w:val="0"/>
          <w:marBottom w:val="0"/>
          <w:divBdr>
            <w:top w:val="none" w:sz="0" w:space="0" w:color="auto"/>
            <w:left w:val="none" w:sz="0" w:space="0" w:color="auto"/>
            <w:bottom w:val="none" w:sz="0" w:space="0" w:color="auto"/>
            <w:right w:val="none" w:sz="0" w:space="0" w:color="auto"/>
          </w:divBdr>
          <w:divsChild>
            <w:div w:id="2045861385">
              <w:marLeft w:val="0"/>
              <w:marRight w:val="0"/>
              <w:marTop w:val="0"/>
              <w:marBottom w:val="0"/>
              <w:divBdr>
                <w:top w:val="none" w:sz="0" w:space="0" w:color="auto"/>
                <w:left w:val="none" w:sz="0" w:space="0" w:color="auto"/>
                <w:bottom w:val="none" w:sz="0" w:space="0" w:color="auto"/>
                <w:right w:val="none" w:sz="0" w:space="0" w:color="auto"/>
              </w:divBdr>
            </w:div>
          </w:divsChild>
        </w:div>
        <w:div w:id="1041520313">
          <w:marLeft w:val="0"/>
          <w:marRight w:val="0"/>
          <w:marTop w:val="0"/>
          <w:marBottom w:val="0"/>
          <w:divBdr>
            <w:top w:val="none" w:sz="0" w:space="0" w:color="auto"/>
            <w:left w:val="none" w:sz="0" w:space="0" w:color="auto"/>
            <w:bottom w:val="none" w:sz="0" w:space="0" w:color="auto"/>
            <w:right w:val="none" w:sz="0" w:space="0" w:color="auto"/>
          </w:divBdr>
          <w:divsChild>
            <w:div w:id="917447883">
              <w:marLeft w:val="0"/>
              <w:marRight w:val="0"/>
              <w:marTop w:val="60"/>
              <w:marBottom w:val="60"/>
              <w:divBdr>
                <w:top w:val="none" w:sz="0" w:space="0" w:color="auto"/>
                <w:left w:val="none" w:sz="0" w:space="0" w:color="auto"/>
                <w:bottom w:val="none" w:sz="0" w:space="0" w:color="auto"/>
                <w:right w:val="none" w:sz="0" w:space="0" w:color="auto"/>
              </w:divBdr>
            </w:div>
            <w:div w:id="1483034772">
              <w:marLeft w:val="0"/>
              <w:marRight w:val="0"/>
              <w:marTop w:val="0"/>
              <w:marBottom w:val="0"/>
              <w:divBdr>
                <w:top w:val="none" w:sz="0" w:space="0" w:color="auto"/>
                <w:left w:val="none" w:sz="0" w:space="0" w:color="auto"/>
                <w:bottom w:val="none" w:sz="0" w:space="0" w:color="auto"/>
                <w:right w:val="none" w:sz="0" w:space="0" w:color="auto"/>
              </w:divBdr>
              <w:divsChild>
                <w:div w:id="172500188">
                  <w:marLeft w:val="0"/>
                  <w:marRight w:val="0"/>
                  <w:marTop w:val="60"/>
                  <w:marBottom w:val="60"/>
                  <w:divBdr>
                    <w:top w:val="none" w:sz="0" w:space="0" w:color="auto"/>
                    <w:left w:val="none" w:sz="0" w:space="0" w:color="auto"/>
                    <w:bottom w:val="none" w:sz="0" w:space="0" w:color="auto"/>
                    <w:right w:val="none" w:sz="0" w:space="0" w:color="auto"/>
                  </w:divBdr>
                </w:div>
                <w:div w:id="690960011">
                  <w:marLeft w:val="0"/>
                  <w:marRight w:val="0"/>
                  <w:marTop w:val="0"/>
                  <w:marBottom w:val="0"/>
                  <w:divBdr>
                    <w:top w:val="none" w:sz="0" w:space="0" w:color="auto"/>
                    <w:left w:val="none" w:sz="0" w:space="0" w:color="auto"/>
                    <w:bottom w:val="none" w:sz="0" w:space="0" w:color="auto"/>
                    <w:right w:val="none" w:sz="0" w:space="0" w:color="auto"/>
                  </w:divBdr>
                  <w:divsChild>
                    <w:div w:id="838471008">
                      <w:marLeft w:val="0"/>
                      <w:marRight w:val="0"/>
                      <w:marTop w:val="60"/>
                      <w:marBottom w:val="60"/>
                      <w:divBdr>
                        <w:top w:val="none" w:sz="0" w:space="0" w:color="auto"/>
                        <w:left w:val="none" w:sz="0" w:space="0" w:color="auto"/>
                        <w:bottom w:val="none" w:sz="0" w:space="0" w:color="auto"/>
                        <w:right w:val="none" w:sz="0" w:space="0" w:color="auto"/>
                      </w:divBdr>
                    </w:div>
                  </w:divsChild>
                </w:div>
                <w:div w:id="2037460851">
                  <w:marLeft w:val="0"/>
                  <w:marRight w:val="0"/>
                  <w:marTop w:val="0"/>
                  <w:marBottom w:val="0"/>
                  <w:divBdr>
                    <w:top w:val="none" w:sz="0" w:space="0" w:color="auto"/>
                    <w:left w:val="none" w:sz="0" w:space="0" w:color="auto"/>
                    <w:bottom w:val="none" w:sz="0" w:space="0" w:color="auto"/>
                    <w:right w:val="none" w:sz="0" w:space="0" w:color="auto"/>
                  </w:divBdr>
                  <w:divsChild>
                    <w:div w:id="41291617">
                      <w:marLeft w:val="0"/>
                      <w:marRight w:val="0"/>
                      <w:marTop w:val="60"/>
                      <w:marBottom w:val="60"/>
                      <w:divBdr>
                        <w:top w:val="none" w:sz="0" w:space="0" w:color="auto"/>
                        <w:left w:val="none" w:sz="0" w:space="0" w:color="auto"/>
                        <w:bottom w:val="none" w:sz="0" w:space="0" w:color="auto"/>
                        <w:right w:val="none" w:sz="0" w:space="0" w:color="auto"/>
                      </w:divBdr>
                    </w:div>
                  </w:divsChild>
                </w:div>
                <w:div w:id="311911183">
                  <w:marLeft w:val="0"/>
                  <w:marRight w:val="0"/>
                  <w:marTop w:val="0"/>
                  <w:marBottom w:val="0"/>
                  <w:divBdr>
                    <w:top w:val="none" w:sz="0" w:space="0" w:color="auto"/>
                    <w:left w:val="none" w:sz="0" w:space="0" w:color="auto"/>
                    <w:bottom w:val="none" w:sz="0" w:space="0" w:color="auto"/>
                    <w:right w:val="none" w:sz="0" w:space="0" w:color="auto"/>
                  </w:divBdr>
                  <w:divsChild>
                    <w:div w:id="20056952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926377451">
              <w:marLeft w:val="0"/>
              <w:marRight w:val="0"/>
              <w:marTop w:val="0"/>
              <w:marBottom w:val="0"/>
              <w:divBdr>
                <w:top w:val="none" w:sz="0" w:space="0" w:color="auto"/>
                <w:left w:val="none" w:sz="0" w:space="0" w:color="auto"/>
                <w:bottom w:val="none" w:sz="0" w:space="0" w:color="auto"/>
                <w:right w:val="none" w:sz="0" w:space="0" w:color="auto"/>
              </w:divBdr>
              <w:divsChild>
                <w:div w:id="1585796719">
                  <w:marLeft w:val="0"/>
                  <w:marRight w:val="0"/>
                  <w:marTop w:val="60"/>
                  <w:marBottom w:val="60"/>
                  <w:divBdr>
                    <w:top w:val="none" w:sz="0" w:space="0" w:color="auto"/>
                    <w:left w:val="none" w:sz="0" w:space="0" w:color="auto"/>
                    <w:bottom w:val="none" w:sz="0" w:space="0" w:color="auto"/>
                    <w:right w:val="none" w:sz="0" w:space="0" w:color="auto"/>
                  </w:divBdr>
                </w:div>
              </w:divsChild>
            </w:div>
            <w:div w:id="1717045141">
              <w:marLeft w:val="0"/>
              <w:marRight w:val="0"/>
              <w:marTop w:val="0"/>
              <w:marBottom w:val="0"/>
              <w:divBdr>
                <w:top w:val="none" w:sz="0" w:space="0" w:color="auto"/>
                <w:left w:val="none" w:sz="0" w:space="0" w:color="auto"/>
                <w:bottom w:val="none" w:sz="0" w:space="0" w:color="auto"/>
                <w:right w:val="none" w:sz="0" w:space="0" w:color="auto"/>
              </w:divBdr>
              <w:divsChild>
                <w:div w:id="1632055321">
                  <w:marLeft w:val="0"/>
                  <w:marRight w:val="0"/>
                  <w:marTop w:val="60"/>
                  <w:marBottom w:val="60"/>
                  <w:divBdr>
                    <w:top w:val="none" w:sz="0" w:space="0" w:color="auto"/>
                    <w:left w:val="none" w:sz="0" w:space="0" w:color="auto"/>
                    <w:bottom w:val="none" w:sz="0" w:space="0" w:color="auto"/>
                    <w:right w:val="none" w:sz="0" w:space="0" w:color="auto"/>
                  </w:divBdr>
                </w:div>
              </w:divsChild>
            </w:div>
            <w:div w:id="1792476703">
              <w:marLeft w:val="0"/>
              <w:marRight w:val="0"/>
              <w:marTop w:val="0"/>
              <w:marBottom w:val="0"/>
              <w:divBdr>
                <w:top w:val="none" w:sz="0" w:space="0" w:color="auto"/>
                <w:left w:val="none" w:sz="0" w:space="0" w:color="auto"/>
                <w:bottom w:val="none" w:sz="0" w:space="0" w:color="auto"/>
                <w:right w:val="none" w:sz="0" w:space="0" w:color="auto"/>
              </w:divBdr>
              <w:divsChild>
                <w:div w:id="1988435349">
                  <w:marLeft w:val="0"/>
                  <w:marRight w:val="0"/>
                  <w:marTop w:val="60"/>
                  <w:marBottom w:val="60"/>
                  <w:divBdr>
                    <w:top w:val="none" w:sz="0" w:space="0" w:color="auto"/>
                    <w:left w:val="none" w:sz="0" w:space="0" w:color="auto"/>
                    <w:bottom w:val="none" w:sz="0" w:space="0" w:color="auto"/>
                    <w:right w:val="none" w:sz="0" w:space="0" w:color="auto"/>
                  </w:divBdr>
                </w:div>
                <w:div w:id="460653656">
                  <w:marLeft w:val="0"/>
                  <w:marRight w:val="0"/>
                  <w:marTop w:val="0"/>
                  <w:marBottom w:val="0"/>
                  <w:divBdr>
                    <w:top w:val="none" w:sz="0" w:space="0" w:color="auto"/>
                    <w:left w:val="none" w:sz="0" w:space="0" w:color="auto"/>
                    <w:bottom w:val="none" w:sz="0" w:space="0" w:color="auto"/>
                    <w:right w:val="none" w:sz="0" w:space="0" w:color="auto"/>
                  </w:divBdr>
                  <w:divsChild>
                    <w:div w:id="1730690984">
                      <w:marLeft w:val="0"/>
                      <w:marRight w:val="0"/>
                      <w:marTop w:val="60"/>
                      <w:marBottom w:val="60"/>
                      <w:divBdr>
                        <w:top w:val="none" w:sz="0" w:space="0" w:color="auto"/>
                        <w:left w:val="none" w:sz="0" w:space="0" w:color="auto"/>
                        <w:bottom w:val="none" w:sz="0" w:space="0" w:color="auto"/>
                        <w:right w:val="none" w:sz="0" w:space="0" w:color="auto"/>
                      </w:divBdr>
                    </w:div>
                  </w:divsChild>
                </w:div>
                <w:div w:id="1734959586">
                  <w:marLeft w:val="0"/>
                  <w:marRight w:val="0"/>
                  <w:marTop w:val="0"/>
                  <w:marBottom w:val="0"/>
                  <w:divBdr>
                    <w:top w:val="none" w:sz="0" w:space="0" w:color="auto"/>
                    <w:left w:val="none" w:sz="0" w:space="0" w:color="auto"/>
                    <w:bottom w:val="none" w:sz="0" w:space="0" w:color="auto"/>
                    <w:right w:val="none" w:sz="0" w:space="0" w:color="auto"/>
                  </w:divBdr>
                  <w:divsChild>
                    <w:div w:id="602806836">
                      <w:marLeft w:val="0"/>
                      <w:marRight w:val="0"/>
                      <w:marTop w:val="60"/>
                      <w:marBottom w:val="60"/>
                      <w:divBdr>
                        <w:top w:val="none" w:sz="0" w:space="0" w:color="auto"/>
                        <w:left w:val="none" w:sz="0" w:space="0" w:color="auto"/>
                        <w:bottom w:val="none" w:sz="0" w:space="0" w:color="auto"/>
                        <w:right w:val="none" w:sz="0" w:space="0" w:color="auto"/>
                      </w:divBdr>
                    </w:div>
                  </w:divsChild>
                </w:div>
                <w:div w:id="269894540">
                  <w:marLeft w:val="0"/>
                  <w:marRight w:val="0"/>
                  <w:marTop w:val="0"/>
                  <w:marBottom w:val="0"/>
                  <w:divBdr>
                    <w:top w:val="none" w:sz="0" w:space="0" w:color="auto"/>
                    <w:left w:val="none" w:sz="0" w:space="0" w:color="auto"/>
                    <w:bottom w:val="none" w:sz="0" w:space="0" w:color="auto"/>
                    <w:right w:val="none" w:sz="0" w:space="0" w:color="auto"/>
                  </w:divBdr>
                  <w:divsChild>
                    <w:div w:id="776945021">
                      <w:marLeft w:val="0"/>
                      <w:marRight w:val="0"/>
                      <w:marTop w:val="60"/>
                      <w:marBottom w:val="60"/>
                      <w:divBdr>
                        <w:top w:val="none" w:sz="0" w:space="0" w:color="auto"/>
                        <w:left w:val="none" w:sz="0" w:space="0" w:color="auto"/>
                        <w:bottom w:val="none" w:sz="0" w:space="0" w:color="auto"/>
                        <w:right w:val="none" w:sz="0" w:space="0" w:color="auto"/>
                      </w:divBdr>
                    </w:div>
                  </w:divsChild>
                </w:div>
                <w:div w:id="268589415">
                  <w:marLeft w:val="0"/>
                  <w:marRight w:val="0"/>
                  <w:marTop w:val="0"/>
                  <w:marBottom w:val="0"/>
                  <w:divBdr>
                    <w:top w:val="none" w:sz="0" w:space="0" w:color="auto"/>
                    <w:left w:val="none" w:sz="0" w:space="0" w:color="auto"/>
                    <w:bottom w:val="none" w:sz="0" w:space="0" w:color="auto"/>
                    <w:right w:val="none" w:sz="0" w:space="0" w:color="auto"/>
                  </w:divBdr>
                  <w:divsChild>
                    <w:div w:id="1804152192">
                      <w:marLeft w:val="0"/>
                      <w:marRight w:val="0"/>
                      <w:marTop w:val="60"/>
                      <w:marBottom w:val="60"/>
                      <w:divBdr>
                        <w:top w:val="none" w:sz="0" w:space="0" w:color="auto"/>
                        <w:left w:val="none" w:sz="0" w:space="0" w:color="auto"/>
                        <w:bottom w:val="none" w:sz="0" w:space="0" w:color="auto"/>
                        <w:right w:val="none" w:sz="0" w:space="0" w:color="auto"/>
                      </w:divBdr>
                    </w:div>
                  </w:divsChild>
                </w:div>
                <w:div w:id="120077729">
                  <w:marLeft w:val="0"/>
                  <w:marRight w:val="0"/>
                  <w:marTop w:val="0"/>
                  <w:marBottom w:val="0"/>
                  <w:divBdr>
                    <w:top w:val="none" w:sz="0" w:space="0" w:color="auto"/>
                    <w:left w:val="none" w:sz="0" w:space="0" w:color="auto"/>
                    <w:bottom w:val="none" w:sz="0" w:space="0" w:color="auto"/>
                    <w:right w:val="none" w:sz="0" w:space="0" w:color="auto"/>
                  </w:divBdr>
                  <w:divsChild>
                    <w:div w:id="1608387835">
                      <w:marLeft w:val="0"/>
                      <w:marRight w:val="0"/>
                      <w:marTop w:val="60"/>
                      <w:marBottom w:val="60"/>
                      <w:divBdr>
                        <w:top w:val="none" w:sz="0" w:space="0" w:color="auto"/>
                        <w:left w:val="none" w:sz="0" w:space="0" w:color="auto"/>
                        <w:bottom w:val="none" w:sz="0" w:space="0" w:color="auto"/>
                        <w:right w:val="none" w:sz="0" w:space="0" w:color="auto"/>
                      </w:divBdr>
                    </w:div>
                  </w:divsChild>
                </w:div>
                <w:div w:id="311256654">
                  <w:marLeft w:val="0"/>
                  <w:marRight w:val="0"/>
                  <w:marTop w:val="0"/>
                  <w:marBottom w:val="0"/>
                  <w:divBdr>
                    <w:top w:val="none" w:sz="0" w:space="0" w:color="auto"/>
                    <w:left w:val="none" w:sz="0" w:space="0" w:color="auto"/>
                    <w:bottom w:val="none" w:sz="0" w:space="0" w:color="auto"/>
                    <w:right w:val="none" w:sz="0" w:space="0" w:color="auto"/>
                  </w:divBdr>
                  <w:divsChild>
                    <w:div w:id="1601986193">
                      <w:marLeft w:val="0"/>
                      <w:marRight w:val="0"/>
                      <w:marTop w:val="60"/>
                      <w:marBottom w:val="60"/>
                      <w:divBdr>
                        <w:top w:val="none" w:sz="0" w:space="0" w:color="auto"/>
                        <w:left w:val="none" w:sz="0" w:space="0" w:color="auto"/>
                        <w:bottom w:val="none" w:sz="0" w:space="0" w:color="auto"/>
                        <w:right w:val="none" w:sz="0" w:space="0" w:color="auto"/>
                      </w:divBdr>
                    </w:div>
                  </w:divsChild>
                </w:div>
                <w:div w:id="911506704">
                  <w:marLeft w:val="0"/>
                  <w:marRight w:val="0"/>
                  <w:marTop w:val="0"/>
                  <w:marBottom w:val="0"/>
                  <w:divBdr>
                    <w:top w:val="none" w:sz="0" w:space="0" w:color="auto"/>
                    <w:left w:val="none" w:sz="0" w:space="0" w:color="auto"/>
                    <w:bottom w:val="none" w:sz="0" w:space="0" w:color="auto"/>
                    <w:right w:val="none" w:sz="0" w:space="0" w:color="auto"/>
                  </w:divBdr>
                  <w:divsChild>
                    <w:div w:id="177702198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041634402">
              <w:marLeft w:val="0"/>
              <w:marRight w:val="0"/>
              <w:marTop w:val="0"/>
              <w:marBottom w:val="0"/>
              <w:divBdr>
                <w:top w:val="none" w:sz="0" w:space="0" w:color="auto"/>
                <w:left w:val="none" w:sz="0" w:space="0" w:color="auto"/>
                <w:bottom w:val="none" w:sz="0" w:space="0" w:color="auto"/>
                <w:right w:val="none" w:sz="0" w:space="0" w:color="auto"/>
              </w:divBdr>
              <w:divsChild>
                <w:div w:id="1471900928">
                  <w:marLeft w:val="0"/>
                  <w:marRight w:val="0"/>
                  <w:marTop w:val="60"/>
                  <w:marBottom w:val="60"/>
                  <w:divBdr>
                    <w:top w:val="none" w:sz="0" w:space="0" w:color="auto"/>
                    <w:left w:val="none" w:sz="0" w:space="0" w:color="auto"/>
                    <w:bottom w:val="none" w:sz="0" w:space="0" w:color="auto"/>
                    <w:right w:val="none" w:sz="0" w:space="0" w:color="auto"/>
                  </w:divBdr>
                </w:div>
                <w:div w:id="624232689">
                  <w:marLeft w:val="0"/>
                  <w:marRight w:val="0"/>
                  <w:marTop w:val="0"/>
                  <w:marBottom w:val="0"/>
                  <w:divBdr>
                    <w:top w:val="none" w:sz="0" w:space="0" w:color="auto"/>
                    <w:left w:val="none" w:sz="0" w:space="0" w:color="auto"/>
                    <w:bottom w:val="none" w:sz="0" w:space="0" w:color="auto"/>
                    <w:right w:val="none" w:sz="0" w:space="0" w:color="auto"/>
                  </w:divBdr>
                  <w:divsChild>
                    <w:div w:id="800196255">
                      <w:marLeft w:val="0"/>
                      <w:marRight w:val="0"/>
                      <w:marTop w:val="60"/>
                      <w:marBottom w:val="60"/>
                      <w:divBdr>
                        <w:top w:val="none" w:sz="0" w:space="0" w:color="auto"/>
                        <w:left w:val="none" w:sz="0" w:space="0" w:color="auto"/>
                        <w:bottom w:val="none" w:sz="0" w:space="0" w:color="auto"/>
                        <w:right w:val="none" w:sz="0" w:space="0" w:color="auto"/>
                      </w:divBdr>
                    </w:div>
                  </w:divsChild>
                </w:div>
                <w:div w:id="1236744867">
                  <w:marLeft w:val="0"/>
                  <w:marRight w:val="0"/>
                  <w:marTop w:val="0"/>
                  <w:marBottom w:val="0"/>
                  <w:divBdr>
                    <w:top w:val="none" w:sz="0" w:space="0" w:color="auto"/>
                    <w:left w:val="none" w:sz="0" w:space="0" w:color="auto"/>
                    <w:bottom w:val="none" w:sz="0" w:space="0" w:color="auto"/>
                    <w:right w:val="none" w:sz="0" w:space="0" w:color="auto"/>
                  </w:divBdr>
                  <w:divsChild>
                    <w:div w:id="438454389">
                      <w:marLeft w:val="0"/>
                      <w:marRight w:val="0"/>
                      <w:marTop w:val="60"/>
                      <w:marBottom w:val="60"/>
                      <w:divBdr>
                        <w:top w:val="none" w:sz="0" w:space="0" w:color="auto"/>
                        <w:left w:val="none" w:sz="0" w:space="0" w:color="auto"/>
                        <w:bottom w:val="none" w:sz="0" w:space="0" w:color="auto"/>
                        <w:right w:val="none" w:sz="0" w:space="0" w:color="auto"/>
                      </w:divBdr>
                    </w:div>
                  </w:divsChild>
                </w:div>
                <w:div w:id="971180504">
                  <w:marLeft w:val="0"/>
                  <w:marRight w:val="0"/>
                  <w:marTop w:val="0"/>
                  <w:marBottom w:val="0"/>
                  <w:divBdr>
                    <w:top w:val="none" w:sz="0" w:space="0" w:color="auto"/>
                    <w:left w:val="none" w:sz="0" w:space="0" w:color="auto"/>
                    <w:bottom w:val="none" w:sz="0" w:space="0" w:color="auto"/>
                    <w:right w:val="none" w:sz="0" w:space="0" w:color="auto"/>
                  </w:divBdr>
                  <w:divsChild>
                    <w:div w:id="66382014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52277830">
              <w:marLeft w:val="0"/>
              <w:marRight w:val="0"/>
              <w:marTop w:val="0"/>
              <w:marBottom w:val="0"/>
              <w:divBdr>
                <w:top w:val="none" w:sz="0" w:space="0" w:color="auto"/>
                <w:left w:val="none" w:sz="0" w:space="0" w:color="auto"/>
                <w:bottom w:val="none" w:sz="0" w:space="0" w:color="auto"/>
                <w:right w:val="none" w:sz="0" w:space="0" w:color="auto"/>
              </w:divBdr>
              <w:divsChild>
                <w:div w:id="1864585102">
                  <w:marLeft w:val="0"/>
                  <w:marRight w:val="0"/>
                  <w:marTop w:val="60"/>
                  <w:marBottom w:val="60"/>
                  <w:divBdr>
                    <w:top w:val="none" w:sz="0" w:space="0" w:color="auto"/>
                    <w:left w:val="none" w:sz="0" w:space="0" w:color="auto"/>
                    <w:bottom w:val="none" w:sz="0" w:space="0" w:color="auto"/>
                    <w:right w:val="none" w:sz="0" w:space="0" w:color="auto"/>
                  </w:divBdr>
                </w:div>
                <w:div w:id="1919703147">
                  <w:marLeft w:val="0"/>
                  <w:marRight w:val="0"/>
                  <w:marTop w:val="0"/>
                  <w:marBottom w:val="0"/>
                  <w:divBdr>
                    <w:top w:val="none" w:sz="0" w:space="0" w:color="auto"/>
                    <w:left w:val="none" w:sz="0" w:space="0" w:color="auto"/>
                    <w:bottom w:val="none" w:sz="0" w:space="0" w:color="auto"/>
                    <w:right w:val="none" w:sz="0" w:space="0" w:color="auto"/>
                  </w:divBdr>
                  <w:divsChild>
                    <w:div w:id="284427444">
                      <w:marLeft w:val="0"/>
                      <w:marRight w:val="0"/>
                      <w:marTop w:val="60"/>
                      <w:marBottom w:val="60"/>
                      <w:divBdr>
                        <w:top w:val="none" w:sz="0" w:space="0" w:color="auto"/>
                        <w:left w:val="none" w:sz="0" w:space="0" w:color="auto"/>
                        <w:bottom w:val="none" w:sz="0" w:space="0" w:color="auto"/>
                        <w:right w:val="none" w:sz="0" w:space="0" w:color="auto"/>
                      </w:divBdr>
                    </w:div>
                  </w:divsChild>
                </w:div>
                <w:div w:id="1085422207">
                  <w:marLeft w:val="0"/>
                  <w:marRight w:val="0"/>
                  <w:marTop w:val="0"/>
                  <w:marBottom w:val="0"/>
                  <w:divBdr>
                    <w:top w:val="none" w:sz="0" w:space="0" w:color="auto"/>
                    <w:left w:val="none" w:sz="0" w:space="0" w:color="auto"/>
                    <w:bottom w:val="none" w:sz="0" w:space="0" w:color="auto"/>
                    <w:right w:val="none" w:sz="0" w:space="0" w:color="auto"/>
                  </w:divBdr>
                  <w:divsChild>
                    <w:div w:id="6723375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99463980">
              <w:marLeft w:val="0"/>
              <w:marRight w:val="0"/>
              <w:marTop w:val="0"/>
              <w:marBottom w:val="0"/>
              <w:divBdr>
                <w:top w:val="none" w:sz="0" w:space="0" w:color="auto"/>
                <w:left w:val="none" w:sz="0" w:space="0" w:color="auto"/>
                <w:bottom w:val="none" w:sz="0" w:space="0" w:color="auto"/>
                <w:right w:val="none" w:sz="0" w:space="0" w:color="auto"/>
              </w:divBdr>
              <w:divsChild>
                <w:div w:id="1708678356">
                  <w:marLeft w:val="0"/>
                  <w:marRight w:val="0"/>
                  <w:marTop w:val="60"/>
                  <w:marBottom w:val="60"/>
                  <w:divBdr>
                    <w:top w:val="none" w:sz="0" w:space="0" w:color="auto"/>
                    <w:left w:val="none" w:sz="0" w:space="0" w:color="auto"/>
                    <w:bottom w:val="none" w:sz="0" w:space="0" w:color="auto"/>
                    <w:right w:val="none" w:sz="0" w:space="0" w:color="auto"/>
                  </w:divBdr>
                </w:div>
              </w:divsChild>
            </w:div>
            <w:div w:id="1850409510">
              <w:marLeft w:val="0"/>
              <w:marRight w:val="0"/>
              <w:marTop w:val="0"/>
              <w:marBottom w:val="0"/>
              <w:divBdr>
                <w:top w:val="none" w:sz="0" w:space="0" w:color="auto"/>
                <w:left w:val="none" w:sz="0" w:space="0" w:color="auto"/>
                <w:bottom w:val="none" w:sz="0" w:space="0" w:color="auto"/>
                <w:right w:val="none" w:sz="0" w:space="0" w:color="auto"/>
              </w:divBdr>
              <w:divsChild>
                <w:div w:id="1286739719">
                  <w:marLeft w:val="0"/>
                  <w:marRight w:val="0"/>
                  <w:marTop w:val="60"/>
                  <w:marBottom w:val="60"/>
                  <w:divBdr>
                    <w:top w:val="none" w:sz="0" w:space="0" w:color="auto"/>
                    <w:left w:val="none" w:sz="0" w:space="0" w:color="auto"/>
                    <w:bottom w:val="none" w:sz="0" w:space="0" w:color="auto"/>
                    <w:right w:val="none" w:sz="0" w:space="0" w:color="auto"/>
                  </w:divBdr>
                </w:div>
              </w:divsChild>
            </w:div>
            <w:div w:id="714236292">
              <w:marLeft w:val="0"/>
              <w:marRight w:val="0"/>
              <w:marTop w:val="0"/>
              <w:marBottom w:val="0"/>
              <w:divBdr>
                <w:top w:val="none" w:sz="0" w:space="0" w:color="auto"/>
                <w:left w:val="none" w:sz="0" w:space="0" w:color="auto"/>
                <w:bottom w:val="none" w:sz="0" w:space="0" w:color="auto"/>
                <w:right w:val="none" w:sz="0" w:space="0" w:color="auto"/>
              </w:divBdr>
              <w:divsChild>
                <w:div w:id="1878078258">
                  <w:marLeft w:val="0"/>
                  <w:marRight w:val="0"/>
                  <w:marTop w:val="60"/>
                  <w:marBottom w:val="60"/>
                  <w:divBdr>
                    <w:top w:val="none" w:sz="0" w:space="0" w:color="auto"/>
                    <w:left w:val="none" w:sz="0" w:space="0" w:color="auto"/>
                    <w:bottom w:val="none" w:sz="0" w:space="0" w:color="auto"/>
                    <w:right w:val="none" w:sz="0" w:space="0" w:color="auto"/>
                  </w:divBdr>
                </w:div>
              </w:divsChild>
            </w:div>
            <w:div w:id="1078091948">
              <w:marLeft w:val="0"/>
              <w:marRight w:val="0"/>
              <w:marTop w:val="0"/>
              <w:marBottom w:val="0"/>
              <w:divBdr>
                <w:top w:val="none" w:sz="0" w:space="0" w:color="auto"/>
                <w:left w:val="none" w:sz="0" w:space="0" w:color="auto"/>
                <w:bottom w:val="none" w:sz="0" w:space="0" w:color="auto"/>
                <w:right w:val="none" w:sz="0" w:space="0" w:color="auto"/>
              </w:divBdr>
              <w:divsChild>
                <w:div w:id="797837391">
                  <w:marLeft w:val="0"/>
                  <w:marRight w:val="0"/>
                  <w:marTop w:val="60"/>
                  <w:marBottom w:val="60"/>
                  <w:divBdr>
                    <w:top w:val="none" w:sz="0" w:space="0" w:color="auto"/>
                    <w:left w:val="none" w:sz="0" w:space="0" w:color="auto"/>
                    <w:bottom w:val="none" w:sz="0" w:space="0" w:color="auto"/>
                    <w:right w:val="none" w:sz="0" w:space="0" w:color="auto"/>
                  </w:divBdr>
                </w:div>
              </w:divsChild>
            </w:div>
            <w:div w:id="1541938596">
              <w:marLeft w:val="0"/>
              <w:marRight w:val="0"/>
              <w:marTop w:val="0"/>
              <w:marBottom w:val="0"/>
              <w:divBdr>
                <w:top w:val="none" w:sz="0" w:space="0" w:color="auto"/>
                <w:left w:val="none" w:sz="0" w:space="0" w:color="auto"/>
                <w:bottom w:val="none" w:sz="0" w:space="0" w:color="auto"/>
                <w:right w:val="none" w:sz="0" w:space="0" w:color="auto"/>
              </w:divBdr>
              <w:divsChild>
                <w:div w:id="13855633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519781651">
      <w:bodyDiv w:val="1"/>
      <w:marLeft w:val="0"/>
      <w:marRight w:val="0"/>
      <w:marTop w:val="0"/>
      <w:marBottom w:val="0"/>
      <w:divBdr>
        <w:top w:val="none" w:sz="0" w:space="0" w:color="auto"/>
        <w:left w:val="none" w:sz="0" w:space="0" w:color="auto"/>
        <w:bottom w:val="none" w:sz="0" w:space="0" w:color="auto"/>
        <w:right w:val="none" w:sz="0" w:space="0" w:color="auto"/>
      </w:divBdr>
    </w:div>
    <w:div w:id="540092434">
      <w:bodyDiv w:val="1"/>
      <w:marLeft w:val="0"/>
      <w:marRight w:val="0"/>
      <w:marTop w:val="0"/>
      <w:marBottom w:val="0"/>
      <w:divBdr>
        <w:top w:val="none" w:sz="0" w:space="0" w:color="auto"/>
        <w:left w:val="none" w:sz="0" w:space="0" w:color="auto"/>
        <w:bottom w:val="none" w:sz="0" w:space="0" w:color="auto"/>
        <w:right w:val="none" w:sz="0" w:space="0" w:color="auto"/>
      </w:divBdr>
    </w:div>
    <w:div w:id="540243501">
      <w:bodyDiv w:val="1"/>
      <w:marLeft w:val="0"/>
      <w:marRight w:val="0"/>
      <w:marTop w:val="0"/>
      <w:marBottom w:val="0"/>
      <w:divBdr>
        <w:top w:val="none" w:sz="0" w:space="0" w:color="auto"/>
        <w:left w:val="none" w:sz="0" w:space="0" w:color="auto"/>
        <w:bottom w:val="none" w:sz="0" w:space="0" w:color="auto"/>
        <w:right w:val="none" w:sz="0" w:space="0" w:color="auto"/>
      </w:divBdr>
    </w:div>
    <w:div w:id="570039760">
      <w:bodyDiv w:val="1"/>
      <w:marLeft w:val="0"/>
      <w:marRight w:val="0"/>
      <w:marTop w:val="0"/>
      <w:marBottom w:val="0"/>
      <w:divBdr>
        <w:top w:val="none" w:sz="0" w:space="0" w:color="auto"/>
        <w:left w:val="none" w:sz="0" w:space="0" w:color="auto"/>
        <w:bottom w:val="none" w:sz="0" w:space="0" w:color="auto"/>
        <w:right w:val="none" w:sz="0" w:space="0" w:color="auto"/>
      </w:divBdr>
    </w:div>
    <w:div w:id="607931923">
      <w:bodyDiv w:val="1"/>
      <w:marLeft w:val="0"/>
      <w:marRight w:val="0"/>
      <w:marTop w:val="0"/>
      <w:marBottom w:val="0"/>
      <w:divBdr>
        <w:top w:val="none" w:sz="0" w:space="0" w:color="auto"/>
        <w:left w:val="none" w:sz="0" w:space="0" w:color="auto"/>
        <w:bottom w:val="none" w:sz="0" w:space="0" w:color="auto"/>
        <w:right w:val="none" w:sz="0" w:space="0" w:color="auto"/>
      </w:divBdr>
    </w:div>
    <w:div w:id="652568838">
      <w:bodyDiv w:val="1"/>
      <w:marLeft w:val="0"/>
      <w:marRight w:val="0"/>
      <w:marTop w:val="0"/>
      <w:marBottom w:val="0"/>
      <w:divBdr>
        <w:top w:val="none" w:sz="0" w:space="0" w:color="auto"/>
        <w:left w:val="none" w:sz="0" w:space="0" w:color="auto"/>
        <w:bottom w:val="none" w:sz="0" w:space="0" w:color="auto"/>
        <w:right w:val="none" w:sz="0" w:space="0" w:color="auto"/>
      </w:divBdr>
    </w:div>
    <w:div w:id="668798157">
      <w:bodyDiv w:val="1"/>
      <w:marLeft w:val="0"/>
      <w:marRight w:val="0"/>
      <w:marTop w:val="0"/>
      <w:marBottom w:val="0"/>
      <w:divBdr>
        <w:top w:val="none" w:sz="0" w:space="0" w:color="auto"/>
        <w:left w:val="none" w:sz="0" w:space="0" w:color="auto"/>
        <w:bottom w:val="none" w:sz="0" w:space="0" w:color="auto"/>
        <w:right w:val="none" w:sz="0" w:space="0" w:color="auto"/>
      </w:divBdr>
    </w:div>
    <w:div w:id="684673870">
      <w:bodyDiv w:val="1"/>
      <w:marLeft w:val="0"/>
      <w:marRight w:val="0"/>
      <w:marTop w:val="0"/>
      <w:marBottom w:val="0"/>
      <w:divBdr>
        <w:top w:val="none" w:sz="0" w:space="0" w:color="auto"/>
        <w:left w:val="none" w:sz="0" w:space="0" w:color="auto"/>
        <w:bottom w:val="none" w:sz="0" w:space="0" w:color="auto"/>
        <w:right w:val="none" w:sz="0" w:space="0" w:color="auto"/>
      </w:divBdr>
    </w:div>
    <w:div w:id="711656241">
      <w:bodyDiv w:val="1"/>
      <w:marLeft w:val="0"/>
      <w:marRight w:val="0"/>
      <w:marTop w:val="0"/>
      <w:marBottom w:val="0"/>
      <w:divBdr>
        <w:top w:val="none" w:sz="0" w:space="0" w:color="auto"/>
        <w:left w:val="none" w:sz="0" w:space="0" w:color="auto"/>
        <w:bottom w:val="none" w:sz="0" w:space="0" w:color="auto"/>
        <w:right w:val="none" w:sz="0" w:space="0" w:color="auto"/>
      </w:divBdr>
    </w:div>
    <w:div w:id="725376987">
      <w:bodyDiv w:val="1"/>
      <w:marLeft w:val="0"/>
      <w:marRight w:val="0"/>
      <w:marTop w:val="0"/>
      <w:marBottom w:val="0"/>
      <w:divBdr>
        <w:top w:val="none" w:sz="0" w:space="0" w:color="auto"/>
        <w:left w:val="none" w:sz="0" w:space="0" w:color="auto"/>
        <w:bottom w:val="none" w:sz="0" w:space="0" w:color="auto"/>
        <w:right w:val="none" w:sz="0" w:space="0" w:color="auto"/>
      </w:divBdr>
    </w:div>
    <w:div w:id="815416538">
      <w:bodyDiv w:val="1"/>
      <w:marLeft w:val="0"/>
      <w:marRight w:val="0"/>
      <w:marTop w:val="0"/>
      <w:marBottom w:val="0"/>
      <w:divBdr>
        <w:top w:val="none" w:sz="0" w:space="0" w:color="auto"/>
        <w:left w:val="none" w:sz="0" w:space="0" w:color="auto"/>
        <w:bottom w:val="none" w:sz="0" w:space="0" w:color="auto"/>
        <w:right w:val="none" w:sz="0" w:space="0" w:color="auto"/>
      </w:divBdr>
    </w:div>
    <w:div w:id="854880586">
      <w:bodyDiv w:val="1"/>
      <w:marLeft w:val="0"/>
      <w:marRight w:val="0"/>
      <w:marTop w:val="0"/>
      <w:marBottom w:val="0"/>
      <w:divBdr>
        <w:top w:val="none" w:sz="0" w:space="0" w:color="auto"/>
        <w:left w:val="none" w:sz="0" w:space="0" w:color="auto"/>
        <w:bottom w:val="none" w:sz="0" w:space="0" w:color="auto"/>
        <w:right w:val="none" w:sz="0" w:space="0" w:color="auto"/>
      </w:divBdr>
    </w:div>
    <w:div w:id="871499588">
      <w:bodyDiv w:val="1"/>
      <w:marLeft w:val="0"/>
      <w:marRight w:val="0"/>
      <w:marTop w:val="0"/>
      <w:marBottom w:val="0"/>
      <w:divBdr>
        <w:top w:val="none" w:sz="0" w:space="0" w:color="auto"/>
        <w:left w:val="none" w:sz="0" w:space="0" w:color="auto"/>
        <w:bottom w:val="none" w:sz="0" w:space="0" w:color="auto"/>
        <w:right w:val="none" w:sz="0" w:space="0" w:color="auto"/>
      </w:divBdr>
    </w:div>
    <w:div w:id="873034947">
      <w:bodyDiv w:val="1"/>
      <w:marLeft w:val="0"/>
      <w:marRight w:val="0"/>
      <w:marTop w:val="0"/>
      <w:marBottom w:val="0"/>
      <w:divBdr>
        <w:top w:val="none" w:sz="0" w:space="0" w:color="auto"/>
        <w:left w:val="none" w:sz="0" w:space="0" w:color="auto"/>
        <w:bottom w:val="none" w:sz="0" w:space="0" w:color="auto"/>
        <w:right w:val="none" w:sz="0" w:space="0" w:color="auto"/>
      </w:divBdr>
    </w:div>
    <w:div w:id="919218840">
      <w:bodyDiv w:val="1"/>
      <w:marLeft w:val="0"/>
      <w:marRight w:val="0"/>
      <w:marTop w:val="0"/>
      <w:marBottom w:val="0"/>
      <w:divBdr>
        <w:top w:val="none" w:sz="0" w:space="0" w:color="auto"/>
        <w:left w:val="none" w:sz="0" w:space="0" w:color="auto"/>
        <w:bottom w:val="none" w:sz="0" w:space="0" w:color="auto"/>
        <w:right w:val="none" w:sz="0" w:space="0" w:color="auto"/>
      </w:divBdr>
      <w:divsChild>
        <w:div w:id="513347394">
          <w:marLeft w:val="0"/>
          <w:marRight w:val="0"/>
          <w:marTop w:val="0"/>
          <w:marBottom w:val="0"/>
          <w:divBdr>
            <w:top w:val="none" w:sz="0" w:space="0" w:color="auto"/>
            <w:left w:val="none" w:sz="0" w:space="0" w:color="auto"/>
            <w:bottom w:val="none" w:sz="0" w:space="0" w:color="auto"/>
            <w:right w:val="none" w:sz="0" w:space="0" w:color="auto"/>
          </w:divBdr>
          <w:divsChild>
            <w:div w:id="359627995">
              <w:marLeft w:val="0"/>
              <w:marRight w:val="0"/>
              <w:marTop w:val="0"/>
              <w:marBottom w:val="0"/>
              <w:divBdr>
                <w:top w:val="none" w:sz="0" w:space="0" w:color="auto"/>
                <w:left w:val="none" w:sz="0" w:space="0" w:color="auto"/>
                <w:bottom w:val="none" w:sz="0" w:space="0" w:color="auto"/>
                <w:right w:val="none" w:sz="0" w:space="0" w:color="auto"/>
              </w:divBdr>
              <w:divsChild>
                <w:div w:id="536743410">
                  <w:marLeft w:val="0"/>
                  <w:marRight w:val="0"/>
                  <w:marTop w:val="60"/>
                  <w:marBottom w:val="60"/>
                  <w:divBdr>
                    <w:top w:val="none" w:sz="0" w:space="0" w:color="auto"/>
                    <w:left w:val="none" w:sz="0" w:space="0" w:color="auto"/>
                    <w:bottom w:val="none" w:sz="0" w:space="0" w:color="auto"/>
                    <w:right w:val="none" w:sz="0" w:space="0" w:color="auto"/>
                  </w:divBdr>
                </w:div>
              </w:divsChild>
            </w:div>
            <w:div w:id="1537620535">
              <w:marLeft w:val="0"/>
              <w:marRight w:val="0"/>
              <w:marTop w:val="0"/>
              <w:marBottom w:val="0"/>
              <w:divBdr>
                <w:top w:val="none" w:sz="0" w:space="0" w:color="auto"/>
                <w:left w:val="none" w:sz="0" w:space="0" w:color="auto"/>
                <w:bottom w:val="none" w:sz="0" w:space="0" w:color="auto"/>
                <w:right w:val="none" w:sz="0" w:space="0" w:color="auto"/>
              </w:divBdr>
              <w:divsChild>
                <w:div w:id="561411881">
                  <w:marLeft w:val="0"/>
                  <w:marRight w:val="0"/>
                  <w:marTop w:val="60"/>
                  <w:marBottom w:val="60"/>
                  <w:divBdr>
                    <w:top w:val="none" w:sz="0" w:space="0" w:color="auto"/>
                    <w:left w:val="none" w:sz="0" w:space="0" w:color="auto"/>
                    <w:bottom w:val="none" w:sz="0" w:space="0" w:color="auto"/>
                    <w:right w:val="none" w:sz="0" w:space="0" w:color="auto"/>
                  </w:divBdr>
                </w:div>
              </w:divsChild>
            </w:div>
            <w:div w:id="1713729248">
              <w:marLeft w:val="0"/>
              <w:marRight w:val="0"/>
              <w:marTop w:val="0"/>
              <w:marBottom w:val="0"/>
              <w:divBdr>
                <w:top w:val="none" w:sz="0" w:space="0" w:color="auto"/>
                <w:left w:val="none" w:sz="0" w:space="0" w:color="auto"/>
                <w:bottom w:val="none" w:sz="0" w:space="0" w:color="auto"/>
                <w:right w:val="none" w:sz="0" w:space="0" w:color="auto"/>
              </w:divBdr>
              <w:divsChild>
                <w:div w:id="839389254">
                  <w:marLeft w:val="0"/>
                  <w:marRight w:val="0"/>
                  <w:marTop w:val="60"/>
                  <w:marBottom w:val="60"/>
                  <w:divBdr>
                    <w:top w:val="none" w:sz="0" w:space="0" w:color="auto"/>
                    <w:left w:val="none" w:sz="0" w:space="0" w:color="auto"/>
                    <w:bottom w:val="none" w:sz="0" w:space="0" w:color="auto"/>
                    <w:right w:val="none" w:sz="0" w:space="0" w:color="auto"/>
                  </w:divBdr>
                </w:div>
              </w:divsChild>
            </w:div>
            <w:div w:id="1557887099">
              <w:marLeft w:val="0"/>
              <w:marRight w:val="0"/>
              <w:marTop w:val="0"/>
              <w:marBottom w:val="0"/>
              <w:divBdr>
                <w:top w:val="none" w:sz="0" w:space="0" w:color="auto"/>
                <w:left w:val="none" w:sz="0" w:space="0" w:color="auto"/>
                <w:bottom w:val="none" w:sz="0" w:space="0" w:color="auto"/>
                <w:right w:val="none" w:sz="0" w:space="0" w:color="auto"/>
              </w:divBdr>
              <w:divsChild>
                <w:div w:id="1528054978">
                  <w:marLeft w:val="0"/>
                  <w:marRight w:val="0"/>
                  <w:marTop w:val="60"/>
                  <w:marBottom w:val="60"/>
                  <w:divBdr>
                    <w:top w:val="none" w:sz="0" w:space="0" w:color="auto"/>
                    <w:left w:val="none" w:sz="0" w:space="0" w:color="auto"/>
                    <w:bottom w:val="none" w:sz="0" w:space="0" w:color="auto"/>
                    <w:right w:val="none" w:sz="0" w:space="0" w:color="auto"/>
                  </w:divBdr>
                </w:div>
              </w:divsChild>
            </w:div>
            <w:div w:id="48847075">
              <w:marLeft w:val="0"/>
              <w:marRight w:val="0"/>
              <w:marTop w:val="0"/>
              <w:marBottom w:val="0"/>
              <w:divBdr>
                <w:top w:val="none" w:sz="0" w:space="0" w:color="auto"/>
                <w:left w:val="none" w:sz="0" w:space="0" w:color="auto"/>
                <w:bottom w:val="none" w:sz="0" w:space="0" w:color="auto"/>
                <w:right w:val="none" w:sz="0" w:space="0" w:color="auto"/>
              </w:divBdr>
              <w:divsChild>
                <w:div w:id="50332634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758913077">
          <w:marLeft w:val="0"/>
          <w:marRight w:val="0"/>
          <w:marTop w:val="0"/>
          <w:marBottom w:val="0"/>
          <w:divBdr>
            <w:top w:val="none" w:sz="0" w:space="0" w:color="auto"/>
            <w:left w:val="none" w:sz="0" w:space="0" w:color="auto"/>
            <w:bottom w:val="none" w:sz="0" w:space="0" w:color="auto"/>
            <w:right w:val="none" w:sz="0" w:space="0" w:color="auto"/>
          </w:divBdr>
          <w:divsChild>
            <w:div w:id="1353384905">
              <w:marLeft w:val="0"/>
              <w:marRight w:val="0"/>
              <w:marTop w:val="0"/>
              <w:marBottom w:val="0"/>
              <w:divBdr>
                <w:top w:val="none" w:sz="0" w:space="0" w:color="auto"/>
                <w:left w:val="none" w:sz="0" w:space="0" w:color="auto"/>
                <w:bottom w:val="none" w:sz="0" w:space="0" w:color="auto"/>
                <w:right w:val="none" w:sz="0" w:space="0" w:color="auto"/>
              </w:divBdr>
            </w:div>
          </w:divsChild>
        </w:div>
        <w:div w:id="1628849789">
          <w:marLeft w:val="0"/>
          <w:marRight w:val="0"/>
          <w:marTop w:val="0"/>
          <w:marBottom w:val="0"/>
          <w:divBdr>
            <w:top w:val="none" w:sz="0" w:space="0" w:color="auto"/>
            <w:left w:val="none" w:sz="0" w:space="0" w:color="auto"/>
            <w:bottom w:val="none" w:sz="0" w:space="0" w:color="auto"/>
            <w:right w:val="none" w:sz="0" w:space="0" w:color="auto"/>
          </w:divBdr>
          <w:divsChild>
            <w:div w:id="1283463650">
              <w:marLeft w:val="0"/>
              <w:marRight w:val="0"/>
              <w:marTop w:val="60"/>
              <w:marBottom w:val="60"/>
              <w:divBdr>
                <w:top w:val="none" w:sz="0" w:space="0" w:color="auto"/>
                <w:left w:val="none" w:sz="0" w:space="0" w:color="auto"/>
                <w:bottom w:val="none" w:sz="0" w:space="0" w:color="auto"/>
                <w:right w:val="none" w:sz="0" w:space="0" w:color="auto"/>
              </w:divBdr>
            </w:div>
            <w:div w:id="1933467619">
              <w:marLeft w:val="0"/>
              <w:marRight w:val="0"/>
              <w:marTop w:val="0"/>
              <w:marBottom w:val="0"/>
              <w:divBdr>
                <w:top w:val="none" w:sz="0" w:space="0" w:color="auto"/>
                <w:left w:val="none" w:sz="0" w:space="0" w:color="auto"/>
                <w:bottom w:val="none" w:sz="0" w:space="0" w:color="auto"/>
                <w:right w:val="none" w:sz="0" w:space="0" w:color="auto"/>
              </w:divBdr>
              <w:divsChild>
                <w:div w:id="2079596205">
                  <w:marLeft w:val="0"/>
                  <w:marRight w:val="0"/>
                  <w:marTop w:val="60"/>
                  <w:marBottom w:val="60"/>
                  <w:divBdr>
                    <w:top w:val="none" w:sz="0" w:space="0" w:color="auto"/>
                    <w:left w:val="none" w:sz="0" w:space="0" w:color="auto"/>
                    <w:bottom w:val="none" w:sz="0" w:space="0" w:color="auto"/>
                    <w:right w:val="none" w:sz="0" w:space="0" w:color="auto"/>
                  </w:divBdr>
                </w:div>
                <w:div w:id="1117914204">
                  <w:marLeft w:val="0"/>
                  <w:marRight w:val="0"/>
                  <w:marTop w:val="0"/>
                  <w:marBottom w:val="0"/>
                  <w:divBdr>
                    <w:top w:val="none" w:sz="0" w:space="0" w:color="auto"/>
                    <w:left w:val="none" w:sz="0" w:space="0" w:color="auto"/>
                    <w:bottom w:val="none" w:sz="0" w:space="0" w:color="auto"/>
                    <w:right w:val="none" w:sz="0" w:space="0" w:color="auto"/>
                  </w:divBdr>
                  <w:divsChild>
                    <w:div w:id="1902520831">
                      <w:marLeft w:val="0"/>
                      <w:marRight w:val="0"/>
                      <w:marTop w:val="60"/>
                      <w:marBottom w:val="60"/>
                      <w:divBdr>
                        <w:top w:val="none" w:sz="0" w:space="0" w:color="auto"/>
                        <w:left w:val="none" w:sz="0" w:space="0" w:color="auto"/>
                        <w:bottom w:val="none" w:sz="0" w:space="0" w:color="auto"/>
                        <w:right w:val="none" w:sz="0" w:space="0" w:color="auto"/>
                      </w:divBdr>
                    </w:div>
                  </w:divsChild>
                </w:div>
                <w:div w:id="1287809777">
                  <w:marLeft w:val="0"/>
                  <w:marRight w:val="0"/>
                  <w:marTop w:val="0"/>
                  <w:marBottom w:val="0"/>
                  <w:divBdr>
                    <w:top w:val="none" w:sz="0" w:space="0" w:color="auto"/>
                    <w:left w:val="none" w:sz="0" w:space="0" w:color="auto"/>
                    <w:bottom w:val="none" w:sz="0" w:space="0" w:color="auto"/>
                    <w:right w:val="none" w:sz="0" w:space="0" w:color="auto"/>
                  </w:divBdr>
                  <w:divsChild>
                    <w:div w:id="968824138">
                      <w:marLeft w:val="0"/>
                      <w:marRight w:val="0"/>
                      <w:marTop w:val="60"/>
                      <w:marBottom w:val="60"/>
                      <w:divBdr>
                        <w:top w:val="none" w:sz="0" w:space="0" w:color="auto"/>
                        <w:left w:val="none" w:sz="0" w:space="0" w:color="auto"/>
                        <w:bottom w:val="none" w:sz="0" w:space="0" w:color="auto"/>
                        <w:right w:val="none" w:sz="0" w:space="0" w:color="auto"/>
                      </w:divBdr>
                    </w:div>
                  </w:divsChild>
                </w:div>
                <w:div w:id="2005626227">
                  <w:marLeft w:val="0"/>
                  <w:marRight w:val="0"/>
                  <w:marTop w:val="0"/>
                  <w:marBottom w:val="0"/>
                  <w:divBdr>
                    <w:top w:val="none" w:sz="0" w:space="0" w:color="auto"/>
                    <w:left w:val="none" w:sz="0" w:space="0" w:color="auto"/>
                    <w:bottom w:val="none" w:sz="0" w:space="0" w:color="auto"/>
                    <w:right w:val="none" w:sz="0" w:space="0" w:color="auto"/>
                  </w:divBdr>
                  <w:divsChild>
                    <w:div w:id="92399980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067411131">
              <w:marLeft w:val="0"/>
              <w:marRight w:val="0"/>
              <w:marTop w:val="0"/>
              <w:marBottom w:val="0"/>
              <w:divBdr>
                <w:top w:val="none" w:sz="0" w:space="0" w:color="auto"/>
                <w:left w:val="none" w:sz="0" w:space="0" w:color="auto"/>
                <w:bottom w:val="none" w:sz="0" w:space="0" w:color="auto"/>
                <w:right w:val="none" w:sz="0" w:space="0" w:color="auto"/>
              </w:divBdr>
              <w:divsChild>
                <w:div w:id="762259338">
                  <w:marLeft w:val="0"/>
                  <w:marRight w:val="0"/>
                  <w:marTop w:val="60"/>
                  <w:marBottom w:val="60"/>
                  <w:divBdr>
                    <w:top w:val="none" w:sz="0" w:space="0" w:color="auto"/>
                    <w:left w:val="none" w:sz="0" w:space="0" w:color="auto"/>
                    <w:bottom w:val="none" w:sz="0" w:space="0" w:color="auto"/>
                    <w:right w:val="none" w:sz="0" w:space="0" w:color="auto"/>
                  </w:divBdr>
                </w:div>
              </w:divsChild>
            </w:div>
            <w:div w:id="1915626624">
              <w:marLeft w:val="0"/>
              <w:marRight w:val="0"/>
              <w:marTop w:val="0"/>
              <w:marBottom w:val="0"/>
              <w:divBdr>
                <w:top w:val="none" w:sz="0" w:space="0" w:color="auto"/>
                <w:left w:val="none" w:sz="0" w:space="0" w:color="auto"/>
                <w:bottom w:val="none" w:sz="0" w:space="0" w:color="auto"/>
                <w:right w:val="none" w:sz="0" w:space="0" w:color="auto"/>
              </w:divBdr>
              <w:divsChild>
                <w:div w:id="2098599420">
                  <w:marLeft w:val="0"/>
                  <w:marRight w:val="0"/>
                  <w:marTop w:val="60"/>
                  <w:marBottom w:val="60"/>
                  <w:divBdr>
                    <w:top w:val="none" w:sz="0" w:space="0" w:color="auto"/>
                    <w:left w:val="none" w:sz="0" w:space="0" w:color="auto"/>
                    <w:bottom w:val="none" w:sz="0" w:space="0" w:color="auto"/>
                    <w:right w:val="none" w:sz="0" w:space="0" w:color="auto"/>
                  </w:divBdr>
                </w:div>
              </w:divsChild>
            </w:div>
            <w:div w:id="1000079570">
              <w:marLeft w:val="0"/>
              <w:marRight w:val="0"/>
              <w:marTop w:val="0"/>
              <w:marBottom w:val="0"/>
              <w:divBdr>
                <w:top w:val="none" w:sz="0" w:space="0" w:color="auto"/>
                <w:left w:val="none" w:sz="0" w:space="0" w:color="auto"/>
                <w:bottom w:val="none" w:sz="0" w:space="0" w:color="auto"/>
                <w:right w:val="none" w:sz="0" w:space="0" w:color="auto"/>
              </w:divBdr>
              <w:divsChild>
                <w:div w:id="1380712551">
                  <w:marLeft w:val="0"/>
                  <w:marRight w:val="0"/>
                  <w:marTop w:val="60"/>
                  <w:marBottom w:val="60"/>
                  <w:divBdr>
                    <w:top w:val="none" w:sz="0" w:space="0" w:color="auto"/>
                    <w:left w:val="none" w:sz="0" w:space="0" w:color="auto"/>
                    <w:bottom w:val="none" w:sz="0" w:space="0" w:color="auto"/>
                    <w:right w:val="none" w:sz="0" w:space="0" w:color="auto"/>
                  </w:divBdr>
                </w:div>
                <w:div w:id="1842619709">
                  <w:marLeft w:val="0"/>
                  <w:marRight w:val="0"/>
                  <w:marTop w:val="0"/>
                  <w:marBottom w:val="0"/>
                  <w:divBdr>
                    <w:top w:val="none" w:sz="0" w:space="0" w:color="auto"/>
                    <w:left w:val="none" w:sz="0" w:space="0" w:color="auto"/>
                    <w:bottom w:val="none" w:sz="0" w:space="0" w:color="auto"/>
                    <w:right w:val="none" w:sz="0" w:space="0" w:color="auto"/>
                  </w:divBdr>
                  <w:divsChild>
                    <w:div w:id="2128354889">
                      <w:marLeft w:val="0"/>
                      <w:marRight w:val="0"/>
                      <w:marTop w:val="60"/>
                      <w:marBottom w:val="60"/>
                      <w:divBdr>
                        <w:top w:val="none" w:sz="0" w:space="0" w:color="auto"/>
                        <w:left w:val="none" w:sz="0" w:space="0" w:color="auto"/>
                        <w:bottom w:val="none" w:sz="0" w:space="0" w:color="auto"/>
                        <w:right w:val="none" w:sz="0" w:space="0" w:color="auto"/>
                      </w:divBdr>
                    </w:div>
                  </w:divsChild>
                </w:div>
                <w:div w:id="788626334">
                  <w:marLeft w:val="0"/>
                  <w:marRight w:val="0"/>
                  <w:marTop w:val="0"/>
                  <w:marBottom w:val="0"/>
                  <w:divBdr>
                    <w:top w:val="none" w:sz="0" w:space="0" w:color="auto"/>
                    <w:left w:val="none" w:sz="0" w:space="0" w:color="auto"/>
                    <w:bottom w:val="none" w:sz="0" w:space="0" w:color="auto"/>
                    <w:right w:val="none" w:sz="0" w:space="0" w:color="auto"/>
                  </w:divBdr>
                  <w:divsChild>
                    <w:div w:id="570119380">
                      <w:marLeft w:val="0"/>
                      <w:marRight w:val="0"/>
                      <w:marTop w:val="60"/>
                      <w:marBottom w:val="60"/>
                      <w:divBdr>
                        <w:top w:val="none" w:sz="0" w:space="0" w:color="auto"/>
                        <w:left w:val="none" w:sz="0" w:space="0" w:color="auto"/>
                        <w:bottom w:val="none" w:sz="0" w:space="0" w:color="auto"/>
                        <w:right w:val="none" w:sz="0" w:space="0" w:color="auto"/>
                      </w:divBdr>
                    </w:div>
                  </w:divsChild>
                </w:div>
                <w:div w:id="286160595">
                  <w:marLeft w:val="0"/>
                  <w:marRight w:val="0"/>
                  <w:marTop w:val="0"/>
                  <w:marBottom w:val="0"/>
                  <w:divBdr>
                    <w:top w:val="none" w:sz="0" w:space="0" w:color="auto"/>
                    <w:left w:val="none" w:sz="0" w:space="0" w:color="auto"/>
                    <w:bottom w:val="none" w:sz="0" w:space="0" w:color="auto"/>
                    <w:right w:val="none" w:sz="0" w:space="0" w:color="auto"/>
                  </w:divBdr>
                  <w:divsChild>
                    <w:div w:id="2021421665">
                      <w:marLeft w:val="0"/>
                      <w:marRight w:val="0"/>
                      <w:marTop w:val="60"/>
                      <w:marBottom w:val="60"/>
                      <w:divBdr>
                        <w:top w:val="none" w:sz="0" w:space="0" w:color="auto"/>
                        <w:left w:val="none" w:sz="0" w:space="0" w:color="auto"/>
                        <w:bottom w:val="none" w:sz="0" w:space="0" w:color="auto"/>
                        <w:right w:val="none" w:sz="0" w:space="0" w:color="auto"/>
                      </w:divBdr>
                    </w:div>
                  </w:divsChild>
                </w:div>
                <w:div w:id="725840310">
                  <w:marLeft w:val="0"/>
                  <w:marRight w:val="0"/>
                  <w:marTop w:val="0"/>
                  <w:marBottom w:val="0"/>
                  <w:divBdr>
                    <w:top w:val="none" w:sz="0" w:space="0" w:color="auto"/>
                    <w:left w:val="none" w:sz="0" w:space="0" w:color="auto"/>
                    <w:bottom w:val="none" w:sz="0" w:space="0" w:color="auto"/>
                    <w:right w:val="none" w:sz="0" w:space="0" w:color="auto"/>
                  </w:divBdr>
                  <w:divsChild>
                    <w:div w:id="643967726">
                      <w:marLeft w:val="0"/>
                      <w:marRight w:val="0"/>
                      <w:marTop w:val="60"/>
                      <w:marBottom w:val="60"/>
                      <w:divBdr>
                        <w:top w:val="none" w:sz="0" w:space="0" w:color="auto"/>
                        <w:left w:val="none" w:sz="0" w:space="0" w:color="auto"/>
                        <w:bottom w:val="none" w:sz="0" w:space="0" w:color="auto"/>
                        <w:right w:val="none" w:sz="0" w:space="0" w:color="auto"/>
                      </w:divBdr>
                    </w:div>
                  </w:divsChild>
                </w:div>
                <w:div w:id="90248685">
                  <w:marLeft w:val="0"/>
                  <w:marRight w:val="0"/>
                  <w:marTop w:val="0"/>
                  <w:marBottom w:val="0"/>
                  <w:divBdr>
                    <w:top w:val="none" w:sz="0" w:space="0" w:color="auto"/>
                    <w:left w:val="none" w:sz="0" w:space="0" w:color="auto"/>
                    <w:bottom w:val="none" w:sz="0" w:space="0" w:color="auto"/>
                    <w:right w:val="none" w:sz="0" w:space="0" w:color="auto"/>
                  </w:divBdr>
                  <w:divsChild>
                    <w:div w:id="2051955091">
                      <w:marLeft w:val="0"/>
                      <w:marRight w:val="0"/>
                      <w:marTop w:val="60"/>
                      <w:marBottom w:val="60"/>
                      <w:divBdr>
                        <w:top w:val="none" w:sz="0" w:space="0" w:color="auto"/>
                        <w:left w:val="none" w:sz="0" w:space="0" w:color="auto"/>
                        <w:bottom w:val="none" w:sz="0" w:space="0" w:color="auto"/>
                        <w:right w:val="none" w:sz="0" w:space="0" w:color="auto"/>
                      </w:divBdr>
                    </w:div>
                  </w:divsChild>
                </w:div>
                <w:div w:id="453256864">
                  <w:marLeft w:val="0"/>
                  <w:marRight w:val="0"/>
                  <w:marTop w:val="0"/>
                  <w:marBottom w:val="0"/>
                  <w:divBdr>
                    <w:top w:val="none" w:sz="0" w:space="0" w:color="auto"/>
                    <w:left w:val="none" w:sz="0" w:space="0" w:color="auto"/>
                    <w:bottom w:val="none" w:sz="0" w:space="0" w:color="auto"/>
                    <w:right w:val="none" w:sz="0" w:space="0" w:color="auto"/>
                  </w:divBdr>
                  <w:divsChild>
                    <w:div w:id="735935781">
                      <w:marLeft w:val="0"/>
                      <w:marRight w:val="0"/>
                      <w:marTop w:val="60"/>
                      <w:marBottom w:val="60"/>
                      <w:divBdr>
                        <w:top w:val="none" w:sz="0" w:space="0" w:color="auto"/>
                        <w:left w:val="none" w:sz="0" w:space="0" w:color="auto"/>
                        <w:bottom w:val="none" w:sz="0" w:space="0" w:color="auto"/>
                        <w:right w:val="none" w:sz="0" w:space="0" w:color="auto"/>
                      </w:divBdr>
                    </w:div>
                  </w:divsChild>
                </w:div>
                <w:div w:id="110169390">
                  <w:marLeft w:val="0"/>
                  <w:marRight w:val="0"/>
                  <w:marTop w:val="0"/>
                  <w:marBottom w:val="0"/>
                  <w:divBdr>
                    <w:top w:val="none" w:sz="0" w:space="0" w:color="auto"/>
                    <w:left w:val="none" w:sz="0" w:space="0" w:color="auto"/>
                    <w:bottom w:val="none" w:sz="0" w:space="0" w:color="auto"/>
                    <w:right w:val="none" w:sz="0" w:space="0" w:color="auto"/>
                  </w:divBdr>
                  <w:divsChild>
                    <w:div w:id="124356239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27404475">
              <w:marLeft w:val="0"/>
              <w:marRight w:val="0"/>
              <w:marTop w:val="0"/>
              <w:marBottom w:val="0"/>
              <w:divBdr>
                <w:top w:val="none" w:sz="0" w:space="0" w:color="auto"/>
                <w:left w:val="none" w:sz="0" w:space="0" w:color="auto"/>
                <w:bottom w:val="none" w:sz="0" w:space="0" w:color="auto"/>
                <w:right w:val="none" w:sz="0" w:space="0" w:color="auto"/>
              </w:divBdr>
              <w:divsChild>
                <w:div w:id="320039689">
                  <w:marLeft w:val="0"/>
                  <w:marRight w:val="0"/>
                  <w:marTop w:val="60"/>
                  <w:marBottom w:val="60"/>
                  <w:divBdr>
                    <w:top w:val="none" w:sz="0" w:space="0" w:color="auto"/>
                    <w:left w:val="none" w:sz="0" w:space="0" w:color="auto"/>
                    <w:bottom w:val="none" w:sz="0" w:space="0" w:color="auto"/>
                    <w:right w:val="none" w:sz="0" w:space="0" w:color="auto"/>
                  </w:divBdr>
                </w:div>
                <w:div w:id="968051964">
                  <w:marLeft w:val="0"/>
                  <w:marRight w:val="0"/>
                  <w:marTop w:val="0"/>
                  <w:marBottom w:val="0"/>
                  <w:divBdr>
                    <w:top w:val="none" w:sz="0" w:space="0" w:color="auto"/>
                    <w:left w:val="none" w:sz="0" w:space="0" w:color="auto"/>
                    <w:bottom w:val="none" w:sz="0" w:space="0" w:color="auto"/>
                    <w:right w:val="none" w:sz="0" w:space="0" w:color="auto"/>
                  </w:divBdr>
                  <w:divsChild>
                    <w:div w:id="1804538856">
                      <w:marLeft w:val="0"/>
                      <w:marRight w:val="0"/>
                      <w:marTop w:val="60"/>
                      <w:marBottom w:val="60"/>
                      <w:divBdr>
                        <w:top w:val="none" w:sz="0" w:space="0" w:color="auto"/>
                        <w:left w:val="none" w:sz="0" w:space="0" w:color="auto"/>
                        <w:bottom w:val="none" w:sz="0" w:space="0" w:color="auto"/>
                        <w:right w:val="none" w:sz="0" w:space="0" w:color="auto"/>
                      </w:divBdr>
                    </w:div>
                  </w:divsChild>
                </w:div>
                <w:div w:id="1247111762">
                  <w:marLeft w:val="0"/>
                  <w:marRight w:val="0"/>
                  <w:marTop w:val="0"/>
                  <w:marBottom w:val="0"/>
                  <w:divBdr>
                    <w:top w:val="none" w:sz="0" w:space="0" w:color="auto"/>
                    <w:left w:val="none" w:sz="0" w:space="0" w:color="auto"/>
                    <w:bottom w:val="none" w:sz="0" w:space="0" w:color="auto"/>
                    <w:right w:val="none" w:sz="0" w:space="0" w:color="auto"/>
                  </w:divBdr>
                  <w:divsChild>
                    <w:div w:id="1990670045">
                      <w:marLeft w:val="0"/>
                      <w:marRight w:val="0"/>
                      <w:marTop w:val="60"/>
                      <w:marBottom w:val="60"/>
                      <w:divBdr>
                        <w:top w:val="none" w:sz="0" w:space="0" w:color="auto"/>
                        <w:left w:val="none" w:sz="0" w:space="0" w:color="auto"/>
                        <w:bottom w:val="none" w:sz="0" w:space="0" w:color="auto"/>
                        <w:right w:val="none" w:sz="0" w:space="0" w:color="auto"/>
                      </w:divBdr>
                    </w:div>
                  </w:divsChild>
                </w:div>
                <w:div w:id="212469640">
                  <w:marLeft w:val="0"/>
                  <w:marRight w:val="0"/>
                  <w:marTop w:val="0"/>
                  <w:marBottom w:val="0"/>
                  <w:divBdr>
                    <w:top w:val="none" w:sz="0" w:space="0" w:color="auto"/>
                    <w:left w:val="none" w:sz="0" w:space="0" w:color="auto"/>
                    <w:bottom w:val="none" w:sz="0" w:space="0" w:color="auto"/>
                    <w:right w:val="none" w:sz="0" w:space="0" w:color="auto"/>
                  </w:divBdr>
                  <w:divsChild>
                    <w:div w:id="176406047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8908441">
              <w:marLeft w:val="0"/>
              <w:marRight w:val="0"/>
              <w:marTop w:val="0"/>
              <w:marBottom w:val="0"/>
              <w:divBdr>
                <w:top w:val="none" w:sz="0" w:space="0" w:color="auto"/>
                <w:left w:val="none" w:sz="0" w:space="0" w:color="auto"/>
                <w:bottom w:val="none" w:sz="0" w:space="0" w:color="auto"/>
                <w:right w:val="none" w:sz="0" w:space="0" w:color="auto"/>
              </w:divBdr>
              <w:divsChild>
                <w:div w:id="1580675896">
                  <w:marLeft w:val="0"/>
                  <w:marRight w:val="0"/>
                  <w:marTop w:val="60"/>
                  <w:marBottom w:val="60"/>
                  <w:divBdr>
                    <w:top w:val="none" w:sz="0" w:space="0" w:color="auto"/>
                    <w:left w:val="none" w:sz="0" w:space="0" w:color="auto"/>
                    <w:bottom w:val="none" w:sz="0" w:space="0" w:color="auto"/>
                    <w:right w:val="none" w:sz="0" w:space="0" w:color="auto"/>
                  </w:divBdr>
                </w:div>
                <w:div w:id="2061325413">
                  <w:marLeft w:val="0"/>
                  <w:marRight w:val="0"/>
                  <w:marTop w:val="0"/>
                  <w:marBottom w:val="0"/>
                  <w:divBdr>
                    <w:top w:val="none" w:sz="0" w:space="0" w:color="auto"/>
                    <w:left w:val="none" w:sz="0" w:space="0" w:color="auto"/>
                    <w:bottom w:val="none" w:sz="0" w:space="0" w:color="auto"/>
                    <w:right w:val="none" w:sz="0" w:space="0" w:color="auto"/>
                  </w:divBdr>
                  <w:divsChild>
                    <w:div w:id="39476028">
                      <w:marLeft w:val="0"/>
                      <w:marRight w:val="0"/>
                      <w:marTop w:val="60"/>
                      <w:marBottom w:val="60"/>
                      <w:divBdr>
                        <w:top w:val="none" w:sz="0" w:space="0" w:color="auto"/>
                        <w:left w:val="none" w:sz="0" w:space="0" w:color="auto"/>
                        <w:bottom w:val="none" w:sz="0" w:space="0" w:color="auto"/>
                        <w:right w:val="none" w:sz="0" w:space="0" w:color="auto"/>
                      </w:divBdr>
                    </w:div>
                  </w:divsChild>
                </w:div>
                <w:div w:id="1867869155">
                  <w:marLeft w:val="0"/>
                  <w:marRight w:val="0"/>
                  <w:marTop w:val="0"/>
                  <w:marBottom w:val="0"/>
                  <w:divBdr>
                    <w:top w:val="none" w:sz="0" w:space="0" w:color="auto"/>
                    <w:left w:val="none" w:sz="0" w:space="0" w:color="auto"/>
                    <w:bottom w:val="none" w:sz="0" w:space="0" w:color="auto"/>
                    <w:right w:val="none" w:sz="0" w:space="0" w:color="auto"/>
                  </w:divBdr>
                  <w:divsChild>
                    <w:div w:id="9508157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897278089">
              <w:marLeft w:val="0"/>
              <w:marRight w:val="0"/>
              <w:marTop w:val="0"/>
              <w:marBottom w:val="0"/>
              <w:divBdr>
                <w:top w:val="none" w:sz="0" w:space="0" w:color="auto"/>
                <w:left w:val="none" w:sz="0" w:space="0" w:color="auto"/>
                <w:bottom w:val="none" w:sz="0" w:space="0" w:color="auto"/>
                <w:right w:val="none" w:sz="0" w:space="0" w:color="auto"/>
              </w:divBdr>
              <w:divsChild>
                <w:div w:id="410589308">
                  <w:marLeft w:val="0"/>
                  <w:marRight w:val="0"/>
                  <w:marTop w:val="60"/>
                  <w:marBottom w:val="60"/>
                  <w:divBdr>
                    <w:top w:val="none" w:sz="0" w:space="0" w:color="auto"/>
                    <w:left w:val="none" w:sz="0" w:space="0" w:color="auto"/>
                    <w:bottom w:val="none" w:sz="0" w:space="0" w:color="auto"/>
                    <w:right w:val="none" w:sz="0" w:space="0" w:color="auto"/>
                  </w:divBdr>
                </w:div>
              </w:divsChild>
            </w:div>
            <w:div w:id="928079771">
              <w:marLeft w:val="0"/>
              <w:marRight w:val="0"/>
              <w:marTop w:val="0"/>
              <w:marBottom w:val="0"/>
              <w:divBdr>
                <w:top w:val="none" w:sz="0" w:space="0" w:color="auto"/>
                <w:left w:val="none" w:sz="0" w:space="0" w:color="auto"/>
                <w:bottom w:val="none" w:sz="0" w:space="0" w:color="auto"/>
                <w:right w:val="none" w:sz="0" w:space="0" w:color="auto"/>
              </w:divBdr>
              <w:divsChild>
                <w:div w:id="1297905784">
                  <w:marLeft w:val="0"/>
                  <w:marRight w:val="0"/>
                  <w:marTop w:val="60"/>
                  <w:marBottom w:val="60"/>
                  <w:divBdr>
                    <w:top w:val="none" w:sz="0" w:space="0" w:color="auto"/>
                    <w:left w:val="none" w:sz="0" w:space="0" w:color="auto"/>
                    <w:bottom w:val="none" w:sz="0" w:space="0" w:color="auto"/>
                    <w:right w:val="none" w:sz="0" w:space="0" w:color="auto"/>
                  </w:divBdr>
                </w:div>
              </w:divsChild>
            </w:div>
            <w:div w:id="112286445">
              <w:marLeft w:val="0"/>
              <w:marRight w:val="0"/>
              <w:marTop w:val="0"/>
              <w:marBottom w:val="0"/>
              <w:divBdr>
                <w:top w:val="none" w:sz="0" w:space="0" w:color="auto"/>
                <w:left w:val="none" w:sz="0" w:space="0" w:color="auto"/>
                <w:bottom w:val="none" w:sz="0" w:space="0" w:color="auto"/>
                <w:right w:val="none" w:sz="0" w:space="0" w:color="auto"/>
              </w:divBdr>
              <w:divsChild>
                <w:div w:id="1764299187">
                  <w:marLeft w:val="0"/>
                  <w:marRight w:val="0"/>
                  <w:marTop w:val="60"/>
                  <w:marBottom w:val="60"/>
                  <w:divBdr>
                    <w:top w:val="none" w:sz="0" w:space="0" w:color="auto"/>
                    <w:left w:val="none" w:sz="0" w:space="0" w:color="auto"/>
                    <w:bottom w:val="none" w:sz="0" w:space="0" w:color="auto"/>
                    <w:right w:val="none" w:sz="0" w:space="0" w:color="auto"/>
                  </w:divBdr>
                </w:div>
              </w:divsChild>
            </w:div>
            <w:div w:id="381367145">
              <w:marLeft w:val="0"/>
              <w:marRight w:val="0"/>
              <w:marTop w:val="0"/>
              <w:marBottom w:val="0"/>
              <w:divBdr>
                <w:top w:val="none" w:sz="0" w:space="0" w:color="auto"/>
                <w:left w:val="none" w:sz="0" w:space="0" w:color="auto"/>
                <w:bottom w:val="none" w:sz="0" w:space="0" w:color="auto"/>
                <w:right w:val="none" w:sz="0" w:space="0" w:color="auto"/>
              </w:divBdr>
              <w:divsChild>
                <w:div w:id="1481537979">
                  <w:marLeft w:val="0"/>
                  <w:marRight w:val="0"/>
                  <w:marTop w:val="60"/>
                  <w:marBottom w:val="60"/>
                  <w:divBdr>
                    <w:top w:val="none" w:sz="0" w:space="0" w:color="auto"/>
                    <w:left w:val="none" w:sz="0" w:space="0" w:color="auto"/>
                    <w:bottom w:val="none" w:sz="0" w:space="0" w:color="auto"/>
                    <w:right w:val="none" w:sz="0" w:space="0" w:color="auto"/>
                  </w:divBdr>
                </w:div>
              </w:divsChild>
            </w:div>
            <w:div w:id="916135116">
              <w:marLeft w:val="0"/>
              <w:marRight w:val="0"/>
              <w:marTop w:val="0"/>
              <w:marBottom w:val="0"/>
              <w:divBdr>
                <w:top w:val="none" w:sz="0" w:space="0" w:color="auto"/>
                <w:left w:val="none" w:sz="0" w:space="0" w:color="auto"/>
                <w:bottom w:val="none" w:sz="0" w:space="0" w:color="auto"/>
                <w:right w:val="none" w:sz="0" w:space="0" w:color="auto"/>
              </w:divBdr>
              <w:divsChild>
                <w:div w:id="135785386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925071084">
      <w:bodyDiv w:val="1"/>
      <w:marLeft w:val="0"/>
      <w:marRight w:val="0"/>
      <w:marTop w:val="0"/>
      <w:marBottom w:val="0"/>
      <w:divBdr>
        <w:top w:val="none" w:sz="0" w:space="0" w:color="auto"/>
        <w:left w:val="none" w:sz="0" w:space="0" w:color="auto"/>
        <w:bottom w:val="none" w:sz="0" w:space="0" w:color="auto"/>
        <w:right w:val="none" w:sz="0" w:space="0" w:color="auto"/>
      </w:divBdr>
    </w:div>
    <w:div w:id="946543299">
      <w:bodyDiv w:val="1"/>
      <w:marLeft w:val="0"/>
      <w:marRight w:val="0"/>
      <w:marTop w:val="0"/>
      <w:marBottom w:val="0"/>
      <w:divBdr>
        <w:top w:val="none" w:sz="0" w:space="0" w:color="auto"/>
        <w:left w:val="none" w:sz="0" w:space="0" w:color="auto"/>
        <w:bottom w:val="none" w:sz="0" w:space="0" w:color="auto"/>
        <w:right w:val="none" w:sz="0" w:space="0" w:color="auto"/>
      </w:divBdr>
    </w:div>
    <w:div w:id="958923260">
      <w:bodyDiv w:val="1"/>
      <w:marLeft w:val="0"/>
      <w:marRight w:val="0"/>
      <w:marTop w:val="0"/>
      <w:marBottom w:val="0"/>
      <w:divBdr>
        <w:top w:val="none" w:sz="0" w:space="0" w:color="auto"/>
        <w:left w:val="none" w:sz="0" w:space="0" w:color="auto"/>
        <w:bottom w:val="none" w:sz="0" w:space="0" w:color="auto"/>
        <w:right w:val="none" w:sz="0" w:space="0" w:color="auto"/>
      </w:divBdr>
    </w:div>
    <w:div w:id="984555105">
      <w:bodyDiv w:val="1"/>
      <w:marLeft w:val="0"/>
      <w:marRight w:val="0"/>
      <w:marTop w:val="0"/>
      <w:marBottom w:val="0"/>
      <w:divBdr>
        <w:top w:val="none" w:sz="0" w:space="0" w:color="auto"/>
        <w:left w:val="none" w:sz="0" w:space="0" w:color="auto"/>
        <w:bottom w:val="none" w:sz="0" w:space="0" w:color="auto"/>
        <w:right w:val="none" w:sz="0" w:space="0" w:color="auto"/>
      </w:divBdr>
    </w:div>
    <w:div w:id="1018190198">
      <w:bodyDiv w:val="1"/>
      <w:marLeft w:val="0"/>
      <w:marRight w:val="0"/>
      <w:marTop w:val="0"/>
      <w:marBottom w:val="0"/>
      <w:divBdr>
        <w:top w:val="none" w:sz="0" w:space="0" w:color="auto"/>
        <w:left w:val="none" w:sz="0" w:space="0" w:color="auto"/>
        <w:bottom w:val="none" w:sz="0" w:space="0" w:color="auto"/>
        <w:right w:val="none" w:sz="0" w:space="0" w:color="auto"/>
      </w:divBdr>
    </w:div>
    <w:div w:id="1019309404">
      <w:bodyDiv w:val="1"/>
      <w:marLeft w:val="0"/>
      <w:marRight w:val="0"/>
      <w:marTop w:val="0"/>
      <w:marBottom w:val="0"/>
      <w:divBdr>
        <w:top w:val="none" w:sz="0" w:space="0" w:color="auto"/>
        <w:left w:val="none" w:sz="0" w:space="0" w:color="auto"/>
        <w:bottom w:val="none" w:sz="0" w:space="0" w:color="auto"/>
        <w:right w:val="none" w:sz="0" w:space="0" w:color="auto"/>
      </w:divBdr>
    </w:div>
    <w:div w:id="1023901619">
      <w:bodyDiv w:val="1"/>
      <w:marLeft w:val="0"/>
      <w:marRight w:val="0"/>
      <w:marTop w:val="0"/>
      <w:marBottom w:val="0"/>
      <w:divBdr>
        <w:top w:val="none" w:sz="0" w:space="0" w:color="auto"/>
        <w:left w:val="none" w:sz="0" w:space="0" w:color="auto"/>
        <w:bottom w:val="none" w:sz="0" w:space="0" w:color="auto"/>
        <w:right w:val="none" w:sz="0" w:space="0" w:color="auto"/>
      </w:divBdr>
      <w:divsChild>
        <w:div w:id="1617985036">
          <w:marLeft w:val="0"/>
          <w:marRight w:val="0"/>
          <w:marTop w:val="0"/>
          <w:marBottom w:val="0"/>
          <w:divBdr>
            <w:top w:val="none" w:sz="0" w:space="0" w:color="auto"/>
            <w:left w:val="none" w:sz="0" w:space="0" w:color="auto"/>
            <w:bottom w:val="none" w:sz="0" w:space="0" w:color="auto"/>
            <w:right w:val="none" w:sz="0" w:space="0" w:color="auto"/>
          </w:divBdr>
          <w:divsChild>
            <w:div w:id="583101951">
              <w:marLeft w:val="0"/>
              <w:marRight w:val="0"/>
              <w:marTop w:val="240"/>
              <w:marBottom w:val="240"/>
              <w:divBdr>
                <w:top w:val="none" w:sz="0" w:space="0" w:color="auto"/>
                <w:left w:val="none" w:sz="0" w:space="0" w:color="auto"/>
                <w:bottom w:val="none" w:sz="0" w:space="0" w:color="auto"/>
                <w:right w:val="none" w:sz="0" w:space="0" w:color="auto"/>
              </w:divBdr>
            </w:div>
            <w:div w:id="738788786">
              <w:marLeft w:val="0"/>
              <w:marRight w:val="0"/>
              <w:marTop w:val="0"/>
              <w:marBottom w:val="0"/>
              <w:divBdr>
                <w:top w:val="none" w:sz="0" w:space="0" w:color="auto"/>
                <w:left w:val="none" w:sz="0" w:space="0" w:color="auto"/>
                <w:bottom w:val="none" w:sz="0" w:space="0" w:color="auto"/>
                <w:right w:val="none" w:sz="0" w:space="0" w:color="auto"/>
              </w:divBdr>
              <w:divsChild>
                <w:div w:id="2033528563">
                  <w:marLeft w:val="0"/>
                  <w:marRight w:val="0"/>
                  <w:marTop w:val="0"/>
                  <w:marBottom w:val="0"/>
                  <w:divBdr>
                    <w:top w:val="none" w:sz="0" w:space="0" w:color="auto"/>
                    <w:left w:val="none" w:sz="0" w:space="0" w:color="auto"/>
                    <w:bottom w:val="none" w:sz="0" w:space="0" w:color="auto"/>
                    <w:right w:val="none" w:sz="0" w:space="0" w:color="auto"/>
                  </w:divBdr>
                </w:div>
                <w:div w:id="938679010">
                  <w:marLeft w:val="0"/>
                  <w:marRight w:val="0"/>
                  <w:marTop w:val="0"/>
                  <w:marBottom w:val="0"/>
                  <w:divBdr>
                    <w:top w:val="none" w:sz="0" w:space="0" w:color="auto"/>
                    <w:left w:val="none" w:sz="0" w:space="0" w:color="auto"/>
                    <w:bottom w:val="none" w:sz="0" w:space="0" w:color="auto"/>
                    <w:right w:val="none" w:sz="0" w:space="0" w:color="auto"/>
                  </w:divBdr>
                </w:div>
                <w:div w:id="1417170252">
                  <w:marLeft w:val="0"/>
                  <w:marRight w:val="0"/>
                  <w:marTop w:val="0"/>
                  <w:marBottom w:val="0"/>
                  <w:divBdr>
                    <w:top w:val="none" w:sz="0" w:space="0" w:color="auto"/>
                    <w:left w:val="none" w:sz="0" w:space="0" w:color="auto"/>
                    <w:bottom w:val="none" w:sz="0" w:space="0" w:color="auto"/>
                    <w:right w:val="none" w:sz="0" w:space="0" w:color="auto"/>
                  </w:divBdr>
                </w:div>
                <w:div w:id="1887134501">
                  <w:marLeft w:val="0"/>
                  <w:marRight w:val="0"/>
                  <w:marTop w:val="0"/>
                  <w:marBottom w:val="0"/>
                  <w:divBdr>
                    <w:top w:val="none" w:sz="0" w:space="0" w:color="auto"/>
                    <w:left w:val="none" w:sz="0" w:space="0" w:color="auto"/>
                    <w:bottom w:val="none" w:sz="0" w:space="0" w:color="auto"/>
                    <w:right w:val="none" w:sz="0" w:space="0" w:color="auto"/>
                  </w:divBdr>
                </w:div>
              </w:divsChild>
            </w:div>
            <w:div w:id="744692240">
              <w:marLeft w:val="0"/>
              <w:marRight w:val="0"/>
              <w:marTop w:val="0"/>
              <w:marBottom w:val="0"/>
              <w:divBdr>
                <w:top w:val="none" w:sz="0" w:space="0" w:color="auto"/>
                <w:left w:val="none" w:sz="0" w:space="0" w:color="auto"/>
                <w:bottom w:val="none" w:sz="0" w:space="0" w:color="auto"/>
                <w:right w:val="none" w:sz="0" w:space="0" w:color="auto"/>
              </w:divBdr>
              <w:divsChild>
                <w:div w:id="267011311">
                  <w:marLeft w:val="0"/>
                  <w:marRight w:val="0"/>
                  <w:marTop w:val="240"/>
                  <w:marBottom w:val="240"/>
                  <w:divBdr>
                    <w:top w:val="none" w:sz="0" w:space="0" w:color="auto"/>
                    <w:left w:val="none" w:sz="0" w:space="0" w:color="auto"/>
                    <w:bottom w:val="none" w:sz="0" w:space="0" w:color="auto"/>
                    <w:right w:val="none" w:sz="0" w:space="0" w:color="auto"/>
                  </w:divBdr>
                </w:div>
              </w:divsChild>
            </w:div>
            <w:div w:id="565922630">
              <w:marLeft w:val="0"/>
              <w:marRight w:val="0"/>
              <w:marTop w:val="0"/>
              <w:marBottom w:val="0"/>
              <w:divBdr>
                <w:top w:val="none" w:sz="0" w:space="0" w:color="auto"/>
                <w:left w:val="none" w:sz="0" w:space="0" w:color="auto"/>
                <w:bottom w:val="none" w:sz="0" w:space="0" w:color="auto"/>
                <w:right w:val="none" w:sz="0" w:space="0" w:color="auto"/>
              </w:divBdr>
              <w:divsChild>
                <w:div w:id="1748915553">
                  <w:marLeft w:val="0"/>
                  <w:marRight w:val="0"/>
                  <w:marTop w:val="0"/>
                  <w:marBottom w:val="0"/>
                  <w:divBdr>
                    <w:top w:val="none" w:sz="0" w:space="0" w:color="auto"/>
                    <w:left w:val="none" w:sz="0" w:space="0" w:color="auto"/>
                    <w:bottom w:val="none" w:sz="0" w:space="0" w:color="auto"/>
                    <w:right w:val="none" w:sz="0" w:space="0" w:color="auto"/>
                  </w:divBdr>
                </w:div>
                <w:div w:id="123041344">
                  <w:marLeft w:val="0"/>
                  <w:marRight w:val="0"/>
                  <w:marTop w:val="0"/>
                  <w:marBottom w:val="0"/>
                  <w:divBdr>
                    <w:top w:val="none" w:sz="0" w:space="0" w:color="auto"/>
                    <w:left w:val="none" w:sz="0" w:space="0" w:color="auto"/>
                    <w:bottom w:val="none" w:sz="0" w:space="0" w:color="auto"/>
                    <w:right w:val="none" w:sz="0" w:space="0" w:color="auto"/>
                  </w:divBdr>
                </w:div>
                <w:div w:id="1911966620">
                  <w:marLeft w:val="0"/>
                  <w:marRight w:val="0"/>
                  <w:marTop w:val="0"/>
                  <w:marBottom w:val="0"/>
                  <w:divBdr>
                    <w:top w:val="none" w:sz="0" w:space="0" w:color="auto"/>
                    <w:left w:val="none" w:sz="0" w:space="0" w:color="auto"/>
                    <w:bottom w:val="none" w:sz="0" w:space="0" w:color="auto"/>
                    <w:right w:val="none" w:sz="0" w:space="0" w:color="auto"/>
                  </w:divBdr>
                </w:div>
                <w:div w:id="1320309920">
                  <w:marLeft w:val="0"/>
                  <w:marRight w:val="0"/>
                  <w:marTop w:val="240"/>
                  <w:marBottom w:val="0"/>
                  <w:divBdr>
                    <w:top w:val="none" w:sz="0" w:space="0" w:color="auto"/>
                    <w:left w:val="none" w:sz="0" w:space="0" w:color="auto"/>
                    <w:bottom w:val="none" w:sz="0" w:space="0" w:color="auto"/>
                    <w:right w:val="none" w:sz="0" w:space="0" w:color="auto"/>
                  </w:divBdr>
                </w:div>
                <w:div w:id="117915962">
                  <w:marLeft w:val="0"/>
                  <w:marRight w:val="0"/>
                  <w:marTop w:val="240"/>
                  <w:marBottom w:val="0"/>
                  <w:divBdr>
                    <w:top w:val="none" w:sz="0" w:space="0" w:color="auto"/>
                    <w:left w:val="none" w:sz="0" w:space="0" w:color="auto"/>
                    <w:bottom w:val="none" w:sz="0" w:space="0" w:color="auto"/>
                    <w:right w:val="none" w:sz="0" w:space="0" w:color="auto"/>
                  </w:divBdr>
                </w:div>
                <w:div w:id="116527211">
                  <w:marLeft w:val="0"/>
                  <w:marRight w:val="0"/>
                  <w:marTop w:val="0"/>
                  <w:marBottom w:val="0"/>
                  <w:divBdr>
                    <w:top w:val="none" w:sz="0" w:space="0" w:color="auto"/>
                    <w:left w:val="none" w:sz="0" w:space="0" w:color="auto"/>
                    <w:bottom w:val="none" w:sz="0" w:space="0" w:color="auto"/>
                    <w:right w:val="none" w:sz="0" w:space="0" w:color="auto"/>
                  </w:divBdr>
                </w:div>
                <w:div w:id="7222589">
                  <w:marLeft w:val="0"/>
                  <w:marRight w:val="0"/>
                  <w:marTop w:val="0"/>
                  <w:marBottom w:val="0"/>
                  <w:divBdr>
                    <w:top w:val="none" w:sz="0" w:space="0" w:color="auto"/>
                    <w:left w:val="none" w:sz="0" w:space="0" w:color="auto"/>
                    <w:bottom w:val="none" w:sz="0" w:space="0" w:color="auto"/>
                    <w:right w:val="none" w:sz="0" w:space="0" w:color="auto"/>
                  </w:divBdr>
                </w:div>
                <w:div w:id="143818275">
                  <w:marLeft w:val="0"/>
                  <w:marRight w:val="0"/>
                  <w:marTop w:val="240"/>
                  <w:marBottom w:val="0"/>
                  <w:divBdr>
                    <w:top w:val="none" w:sz="0" w:space="0" w:color="auto"/>
                    <w:left w:val="none" w:sz="0" w:space="0" w:color="auto"/>
                    <w:bottom w:val="none" w:sz="0" w:space="0" w:color="auto"/>
                    <w:right w:val="none" w:sz="0" w:space="0" w:color="auto"/>
                  </w:divBdr>
                </w:div>
                <w:div w:id="69936413">
                  <w:marLeft w:val="0"/>
                  <w:marRight w:val="0"/>
                  <w:marTop w:val="0"/>
                  <w:marBottom w:val="0"/>
                  <w:divBdr>
                    <w:top w:val="none" w:sz="0" w:space="0" w:color="auto"/>
                    <w:left w:val="none" w:sz="0" w:space="0" w:color="auto"/>
                    <w:bottom w:val="none" w:sz="0" w:space="0" w:color="auto"/>
                    <w:right w:val="none" w:sz="0" w:space="0" w:color="auto"/>
                  </w:divBdr>
                </w:div>
                <w:div w:id="1001280405">
                  <w:marLeft w:val="0"/>
                  <w:marRight w:val="0"/>
                  <w:marTop w:val="0"/>
                  <w:marBottom w:val="0"/>
                  <w:divBdr>
                    <w:top w:val="none" w:sz="0" w:space="0" w:color="auto"/>
                    <w:left w:val="none" w:sz="0" w:space="0" w:color="auto"/>
                    <w:bottom w:val="none" w:sz="0" w:space="0" w:color="auto"/>
                    <w:right w:val="none" w:sz="0" w:space="0" w:color="auto"/>
                  </w:divBdr>
                </w:div>
                <w:div w:id="20467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2936">
      <w:bodyDiv w:val="1"/>
      <w:marLeft w:val="0"/>
      <w:marRight w:val="0"/>
      <w:marTop w:val="0"/>
      <w:marBottom w:val="0"/>
      <w:divBdr>
        <w:top w:val="none" w:sz="0" w:space="0" w:color="auto"/>
        <w:left w:val="none" w:sz="0" w:space="0" w:color="auto"/>
        <w:bottom w:val="none" w:sz="0" w:space="0" w:color="auto"/>
        <w:right w:val="none" w:sz="0" w:space="0" w:color="auto"/>
      </w:divBdr>
    </w:div>
    <w:div w:id="1050690188">
      <w:bodyDiv w:val="1"/>
      <w:marLeft w:val="0"/>
      <w:marRight w:val="0"/>
      <w:marTop w:val="0"/>
      <w:marBottom w:val="0"/>
      <w:divBdr>
        <w:top w:val="none" w:sz="0" w:space="0" w:color="auto"/>
        <w:left w:val="none" w:sz="0" w:space="0" w:color="auto"/>
        <w:bottom w:val="none" w:sz="0" w:space="0" w:color="auto"/>
        <w:right w:val="none" w:sz="0" w:space="0" w:color="auto"/>
      </w:divBdr>
    </w:div>
    <w:div w:id="1082490425">
      <w:bodyDiv w:val="1"/>
      <w:marLeft w:val="0"/>
      <w:marRight w:val="0"/>
      <w:marTop w:val="0"/>
      <w:marBottom w:val="0"/>
      <w:divBdr>
        <w:top w:val="none" w:sz="0" w:space="0" w:color="auto"/>
        <w:left w:val="none" w:sz="0" w:space="0" w:color="auto"/>
        <w:bottom w:val="none" w:sz="0" w:space="0" w:color="auto"/>
        <w:right w:val="none" w:sz="0" w:space="0" w:color="auto"/>
      </w:divBdr>
    </w:div>
    <w:div w:id="1088573882">
      <w:bodyDiv w:val="1"/>
      <w:marLeft w:val="0"/>
      <w:marRight w:val="0"/>
      <w:marTop w:val="0"/>
      <w:marBottom w:val="0"/>
      <w:divBdr>
        <w:top w:val="none" w:sz="0" w:space="0" w:color="auto"/>
        <w:left w:val="none" w:sz="0" w:space="0" w:color="auto"/>
        <w:bottom w:val="none" w:sz="0" w:space="0" w:color="auto"/>
        <w:right w:val="none" w:sz="0" w:space="0" w:color="auto"/>
      </w:divBdr>
    </w:div>
    <w:div w:id="1111433856">
      <w:bodyDiv w:val="1"/>
      <w:marLeft w:val="0"/>
      <w:marRight w:val="0"/>
      <w:marTop w:val="0"/>
      <w:marBottom w:val="0"/>
      <w:divBdr>
        <w:top w:val="none" w:sz="0" w:space="0" w:color="auto"/>
        <w:left w:val="none" w:sz="0" w:space="0" w:color="auto"/>
        <w:bottom w:val="none" w:sz="0" w:space="0" w:color="auto"/>
        <w:right w:val="none" w:sz="0" w:space="0" w:color="auto"/>
      </w:divBdr>
    </w:div>
    <w:div w:id="1126701959">
      <w:bodyDiv w:val="1"/>
      <w:marLeft w:val="0"/>
      <w:marRight w:val="0"/>
      <w:marTop w:val="0"/>
      <w:marBottom w:val="0"/>
      <w:divBdr>
        <w:top w:val="none" w:sz="0" w:space="0" w:color="auto"/>
        <w:left w:val="none" w:sz="0" w:space="0" w:color="auto"/>
        <w:bottom w:val="none" w:sz="0" w:space="0" w:color="auto"/>
        <w:right w:val="none" w:sz="0" w:space="0" w:color="auto"/>
      </w:divBdr>
    </w:div>
    <w:div w:id="1135760922">
      <w:bodyDiv w:val="1"/>
      <w:marLeft w:val="0"/>
      <w:marRight w:val="0"/>
      <w:marTop w:val="0"/>
      <w:marBottom w:val="0"/>
      <w:divBdr>
        <w:top w:val="none" w:sz="0" w:space="0" w:color="auto"/>
        <w:left w:val="none" w:sz="0" w:space="0" w:color="auto"/>
        <w:bottom w:val="none" w:sz="0" w:space="0" w:color="auto"/>
        <w:right w:val="none" w:sz="0" w:space="0" w:color="auto"/>
      </w:divBdr>
    </w:div>
    <w:div w:id="1214463274">
      <w:bodyDiv w:val="1"/>
      <w:marLeft w:val="0"/>
      <w:marRight w:val="0"/>
      <w:marTop w:val="0"/>
      <w:marBottom w:val="0"/>
      <w:divBdr>
        <w:top w:val="none" w:sz="0" w:space="0" w:color="auto"/>
        <w:left w:val="none" w:sz="0" w:space="0" w:color="auto"/>
        <w:bottom w:val="none" w:sz="0" w:space="0" w:color="auto"/>
        <w:right w:val="none" w:sz="0" w:space="0" w:color="auto"/>
      </w:divBdr>
    </w:div>
    <w:div w:id="1251550525">
      <w:bodyDiv w:val="1"/>
      <w:marLeft w:val="0"/>
      <w:marRight w:val="0"/>
      <w:marTop w:val="0"/>
      <w:marBottom w:val="0"/>
      <w:divBdr>
        <w:top w:val="none" w:sz="0" w:space="0" w:color="auto"/>
        <w:left w:val="none" w:sz="0" w:space="0" w:color="auto"/>
        <w:bottom w:val="none" w:sz="0" w:space="0" w:color="auto"/>
        <w:right w:val="none" w:sz="0" w:space="0" w:color="auto"/>
      </w:divBdr>
      <w:divsChild>
        <w:div w:id="776171711">
          <w:marLeft w:val="0"/>
          <w:marRight w:val="0"/>
          <w:marTop w:val="0"/>
          <w:marBottom w:val="0"/>
          <w:divBdr>
            <w:top w:val="none" w:sz="0" w:space="0" w:color="auto"/>
            <w:left w:val="none" w:sz="0" w:space="0" w:color="auto"/>
            <w:bottom w:val="none" w:sz="0" w:space="0" w:color="auto"/>
            <w:right w:val="none" w:sz="0" w:space="0" w:color="auto"/>
          </w:divBdr>
          <w:divsChild>
            <w:div w:id="129566498">
              <w:marLeft w:val="0"/>
              <w:marRight w:val="0"/>
              <w:marTop w:val="0"/>
              <w:marBottom w:val="0"/>
              <w:divBdr>
                <w:top w:val="none" w:sz="0" w:space="0" w:color="auto"/>
                <w:left w:val="none" w:sz="0" w:space="0" w:color="auto"/>
                <w:bottom w:val="none" w:sz="0" w:space="0" w:color="auto"/>
                <w:right w:val="none" w:sz="0" w:space="0" w:color="auto"/>
              </w:divBdr>
              <w:divsChild>
                <w:div w:id="1494299855">
                  <w:marLeft w:val="0"/>
                  <w:marRight w:val="0"/>
                  <w:marTop w:val="60"/>
                  <w:marBottom w:val="60"/>
                  <w:divBdr>
                    <w:top w:val="none" w:sz="0" w:space="0" w:color="auto"/>
                    <w:left w:val="none" w:sz="0" w:space="0" w:color="auto"/>
                    <w:bottom w:val="none" w:sz="0" w:space="0" w:color="auto"/>
                    <w:right w:val="none" w:sz="0" w:space="0" w:color="auto"/>
                  </w:divBdr>
                </w:div>
              </w:divsChild>
            </w:div>
            <w:div w:id="461728104">
              <w:marLeft w:val="0"/>
              <w:marRight w:val="0"/>
              <w:marTop w:val="0"/>
              <w:marBottom w:val="0"/>
              <w:divBdr>
                <w:top w:val="none" w:sz="0" w:space="0" w:color="auto"/>
                <w:left w:val="none" w:sz="0" w:space="0" w:color="auto"/>
                <w:bottom w:val="none" w:sz="0" w:space="0" w:color="auto"/>
                <w:right w:val="none" w:sz="0" w:space="0" w:color="auto"/>
              </w:divBdr>
              <w:divsChild>
                <w:div w:id="1759711955">
                  <w:marLeft w:val="0"/>
                  <w:marRight w:val="0"/>
                  <w:marTop w:val="60"/>
                  <w:marBottom w:val="60"/>
                  <w:divBdr>
                    <w:top w:val="none" w:sz="0" w:space="0" w:color="auto"/>
                    <w:left w:val="none" w:sz="0" w:space="0" w:color="auto"/>
                    <w:bottom w:val="none" w:sz="0" w:space="0" w:color="auto"/>
                    <w:right w:val="none" w:sz="0" w:space="0" w:color="auto"/>
                  </w:divBdr>
                </w:div>
              </w:divsChild>
            </w:div>
            <w:div w:id="233124557">
              <w:marLeft w:val="0"/>
              <w:marRight w:val="0"/>
              <w:marTop w:val="0"/>
              <w:marBottom w:val="0"/>
              <w:divBdr>
                <w:top w:val="none" w:sz="0" w:space="0" w:color="auto"/>
                <w:left w:val="none" w:sz="0" w:space="0" w:color="auto"/>
                <w:bottom w:val="none" w:sz="0" w:space="0" w:color="auto"/>
                <w:right w:val="none" w:sz="0" w:space="0" w:color="auto"/>
              </w:divBdr>
              <w:divsChild>
                <w:div w:id="443040583">
                  <w:marLeft w:val="0"/>
                  <w:marRight w:val="0"/>
                  <w:marTop w:val="60"/>
                  <w:marBottom w:val="60"/>
                  <w:divBdr>
                    <w:top w:val="none" w:sz="0" w:space="0" w:color="auto"/>
                    <w:left w:val="none" w:sz="0" w:space="0" w:color="auto"/>
                    <w:bottom w:val="none" w:sz="0" w:space="0" w:color="auto"/>
                    <w:right w:val="none" w:sz="0" w:space="0" w:color="auto"/>
                  </w:divBdr>
                </w:div>
              </w:divsChild>
            </w:div>
            <w:div w:id="1225336691">
              <w:marLeft w:val="0"/>
              <w:marRight w:val="0"/>
              <w:marTop w:val="0"/>
              <w:marBottom w:val="0"/>
              <w:divBdr>
                <w:top w:val="none" w:sz="0" w:space="0" w:color="auto"/>
                <w:left w:val="none" w:sz="0" w:space="0" w:color="auto"/>
                <w:bottom w:val="none" w:sz="0" w:space="0" w:color="auto"/>
                <w:right w:val="none" w:sz="0" w:space="0" w:color="auto"/>
              </w:divBdr>
              <w:divsChild>
                <w:div w:id="1846482894">
                  <w:marLeft w:val="0"/>
                  <w:marRight w:val="0"/>
                  <w:marTop w:val="60"/>
                  <w:marBottom w:val="60"/>
                  <w:divBdr>
                    <w:top w:val="none" w:sz="0" w:space="0" w:color="auto"/>
                    <w:left w:val="none" w:sz="0" w:space="0" w:color="auto"/>
                    <w:bottom w:val="none" w:sz="0" w:space="0" w:color="auto"/>
                    <w:right w:val="none" w:sz="0" w:space="0" w:color="auto"/>
                  </w:divBdr>
                </w:div>
              </w:divsChild>
            </w:div>
            <w:div w:id="1213032950">
              <w:marLeft w:val="0"/>
              <w:marRight w:val="0"/>
              <w:marTop w:val="0"/>
              <w:marBottom w:val="0"/>
              <w:divBdr>
                <w:top w:val="none" w:sz="0" w:space="0" w:color="auto"/>
                <w:left w:val="none" w:sz="0" w:space="0" w:color="auto"/>
                <w:bottom w:val="none" w:sz="0" w:space="0" w:color="auto"/>
                <w:right w:val="none" w:sz="0" w:space="0" w:color="auto"/>
              </w:divBdr>
              <w:divsChild>
                <w:div w:id="148323363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679382343">
          <w:marLeft w:val="0"/>
          <w:marRight w:val="0"/>
          <w:marTop w:val="0"/>
          <w:marBottom w:val="0"/>
          <w:divBdr>
            <w:top w:val="none" w:sz="0" w:space="0" w:color="auto"/>
            <w:left w:val="none" w:sz="0" w:space="0" w:color="auto"/>
            <w:bottom w:val="none" w:sz="0" w:space="0" w:color="auto"/>
            <w:right w:val="none" w:sz="0" w:space="0" w:color="auto"/>
          </w:divBdr>
          <w:divsChild>
            <w:div w:id="1888830318">
              <w:marLeft w:val="0"/>
              <w:marRight w:val="0"/>
              <w:marTop w:val="0"/>
              <w:marBottom w:val="0"/>
              <w:divBdr>
                <w:top w:val="none" w:sz="0" w:space="0" w:color="auto"/>
                <w:left w:val="none" w:sz="0" w:space="0" w:color="auto"/>
                <w:bottom w:val="none" w:sz="0" w:space="0" w:color="auto"/>
                <w:right w:val="none" w:sz="0" w:space="0" w:color="auto"/>
              </w:divBdr>
            </w:div>
          </w:divsChild>
        </w:div>
        <w:div w:id="1508710570">
          <w:marLeft w:val="0"/>
          <w:marRight w:val="0"/>
          <w:marTop w:val="0"/>
          <w:marBottom w:val="0"/>
          <w:divBdr>
            <w:top w:val="none" w:sz="0" w:space="0" w:color="auto"/>
            <w:left w:val="none" w:sz="0" w:space="0" w:color="auto"/>
            <w:bottom w:val="none" w:sz="0" w:space="0" w:color="auto"/>
            <w:right w:val="none" w:sz="0" w:space="0" w:color="auto"/>
          </w:divBdr>
          <w:divsChild>
            <w:div w:id="2074229908">
              <w:marLeft w:val="0"/>
              <w:marRight w:val="0"/>
              <w:marTop w:val="60"/>
              <w:marBottom w:val="60"/>
              <w:divBdr>
                <w:top w:val="none" w:sz="0" w:space="0" w:color="auto"/>
                <w:left w:val="none" w:sz="0" w:space="0" w:color="auto"/>
                <w:bottom w:val="none" w:sz="0" w:space="0" w:color="auto"/>
                <w:right w:val="none" w:sz="0" w:space="0" w:color="auto"/>
              </w:divBdr>
            </w:div>
            <w:div w:id="1362049647">
              <w:marLeft w:val="0"/>
              <w:marRight w:val="0"/>
              <w:marTop w:val="0"/>
              <w:marBottom w:val="0"/>
              <w:divBdr>
                <w:top w:val="none" w:sz="0" w:space="0" w:color="auto"/>
                <w:left w:val="none" w:sz="0" w:space="0" w:color="auto"/>
                <w:bottom w:val="none" w:sz="0" w:space="0" w:color="auto"/>
                <w:right w:val="none" w:sz="0" w:space="0" w:color="auto"/>
              </w:divBdr>
              <w:divsChild>
                <w:div w:id="532890288">
                  <w:marLeft w:val="0"/>
                  <w:marRight w:val="0"/>
                  <w:marTop w:val="60"/>
                  <w:marBottom w:val="60"/>
                  <w:divBdr>
                    <w:top w:val="none" w:sz="0" w:space="0" w:color="auto"/>
                    <w:left w:val="none" w:sz="0" w:space="0" w:color="auto"/>
                    <w:bottom w:val="none" w:sz="0" w:space="0" w:color="auto"/>
                    <w:right w:val="none" w:sz="0" w:space="0" w:color="auto"/>
                  </w:divBdr>
                </w:div>
                <w:div w:id="1834448955">
                  <w:marLeft w:val="0"/>
                  <w:marRight w:val="0"/>
                  <w:marTop w:val="0"/>
                  <w:marBottom w:val="0"/>
                  <w:divBdr>
                    <w:top w:val="none" w:sz="0" w:space="0" w:color="auto"/>
                    <w:left w:val="none" w:sz="0" w:space="0" w:color="auto"/>
                    <w:bottom w:val="none" w:sz="0" w:space="0" w:color="auto"/>
                    <w:right w:val="none" w:sz="0" w:space="0" w:color="auto"/>
                  </w:divBdr>
                  <w:divsChild>
                    <w:div w:id="1900626087">
                      <w:marLeft w:val="0"/>
                      <w:marRight w:val="0"/>
                      <w:marTop w:val="60"/>
                      <w:marBottom w:val="60"/>
                      <w:divBdr>
                        <w:top w:val="none" w:sz="0" w:space="0" w:color="auto"/>
                        <w:left w:val="none" w:sz="0" w:space="0" w:color="auto"/>
                        <w:bottom w:val="none" w:sz="0" w:space="0" w:color="auto"/>
                        <w:right w:val="none" w:sz="0" w:space="0" w:color="auto"/>
                      </w:divBdr>
                    </w:div>
                  </w:divsChild>
                </w:div>
                <w:div w:id="2025667924">
                  <w:marLeft w:val="0"/>
                  <w:marRight w:val="0"/>
                  <w:marTop w:val="0"/>
                  <w:marBottom w:val="0"/>
                  <w:divBdr>
                    <w:top w:val="none" w:sz="0" w:space="0" w:color="auto"/>
                    <w:left w:val="none" w:sz="0" w:space="0" w:color="auto"/>
                    <w:bottom w:val="none" w:sz="0" w:space="0" w:color="auto"/>
                    <w:right w:val="none" w:sz="0" w:space="0" w:color="auto"/>
                  </w:divBdr>
                  <w:divsChild>
                    <w:div w:id="266933079">
                      <w:marLeft w:val="0"/>
                      <w:marRight w:val="0"/>
                      <w:marTop w:val="60"/>
                      <w:marBottom w:val="60"/>
                      <w:divBdr>
                        <w:top w:val="none" w:sz="0" w:space="0" w:color="auto"/>
                        <w:left w:val="none" w:sz="0" w:space="0" w:color="auto"/>
                        <w:bottom w:val="none" w:sz="0" w:space="0" w:color="auto"/>
                        <w:right w:val="none" w:sz="0" w:space="0" w:color="auto"/>
                      </w:divBdr>
                    </w:div>
                  </w:divsChild>
                </w:div>
                <w:div w:id="619145075">
                  <w:marLeft w:val="0"/>
                  <w:marRight w:val="0"/>
                  <w:marTop w:val="0"/>
                  <w:marBottom w:val="0"/>
                  <w:divBdr>
                    <w:top w:val="none" w:sz="0" w:space="0" w:color="auto"/>
                    <w:left w:val="none" w:sz="0" w:space="0" w:color="auto"/>
                    <w:bottom w:val="none" w:sz="0" w:space="0" w:color="auto"/>
                    <w:right w:val="none" w:sz="0" w:space="0" w:color="auto"/>
                  </w:divBdr>
                  <w:divsChild>
                    <w:div w:id="134624870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434327023">
              <w:marLeft w:val="0"/>
              <w:marRight w:val="0"/>
              <w:marTop w:val="0"/>
              <w:marBottom w:val="0"/>
              <w:divBdr>
                <w:top w:val="none" w:sz="0" w:space="0" w:color="auto"/>
                <w:left w:val="none" w:sz="0" w:space="0" w:color="auto"/>
                <w:bottom w:val="none" w:sz="0" w:space="0" w:color="auto"/>
                <w:right w:val="none" w:sz="0" w:space="0" w:color="auto"/>
              </w:divBdr>
              <w:divsChild>
                <w:div w:id="1142962556">
                  <w:marLeft w:val="0"/>
                  <w:marRight w:val="0"/>
                  <w:marTop w:val="60"/>
                  <w:marBottom w:val="60"/>
                  <w:divBdr>
                    <w:top w:val="none" w:sz="0" w:space="0" w:color="auto"/>
                    <w:left w:val="none" w:sz="0" w:space="0" w:color="auto"/>
                    <w:bottom w:val="none" w:sz="0" w:space="0" w:color="auto"/>
                    <w:right w:val="none" w:sz="0" w:space="0" w:color="auto"/>
                  </w:divBdr>
                </w:div>
              </w:divsChild>
            </w:div>
            <w:div w:id="828012468">
              <w:marLeft w:val="0"/>
              <w:marRight w:val="0"/>
              <w:marTop w:val="0"/>
              <w:marBottom w:val="0"/>
              <w:divBdr>
                <w:top w:val="none" w:sz="0" w:space="0" w:color="auto"/>
                <w:left w:val="none" w:sz="0" w:space="0" w:color="auto"/>
                <w:bottom w:val="none" w:sz="0" w:space="0" w:color="auto"/>
                <w:right w:val="none" w:sz="0" w:space="0" w:color="auto"/>
              </w:divBdr>
              <w:divsChild>
                <w:div w:id="931476780">
                  <w:marLeft w:val="0"/>
                  <w:marRight w:val="0"/>
                  <w:marTop w:val="60"/>
                  <w:marBottom w:val="60"/>
                  <w:divBdr>
                    <w:top w:val="none" w:sz="0" w:space="0" w:color="auto"/>
                    <w:left w:val="none" w:sz="0" w:space="0" w:color="auto"/>
                    <w:bottom w:val="none" w:sz="0" w:space="0" w:color="auto"/>
                    <w:right w:val="none" w:sz="0" w:space="0" w:color="auto"/>
                  </w:divBdr>
                </w:div>
              </w:divsChild>
            </w:div>
            <w:div w:id="765422441">
              <w:marLeft w:val="0"/>
              <w:marRight w:val="0"/>
              <w:marTop w:val="0"/>
              <w:marBottom w:val="0"/>
              <w:divBdr>
                <w:top w:val="none" w:sz="0" w:space="0" w:color="auto"/>
                <w:left w:val="none" w:sz="0" w:space="0" w:color="auto"/>
                <w:bottom w:val="none" w:sz="0" w:space="0" w:color="auto"/>
                <w:right w:val="none" w:sz="0" w:space="0" w:color="auto"/>
              </w:divBdr>
              <w:divsChild>
                <w:div w:id="1625503500">
                  <w:marLeft w:val="0"/>
                  <w:marRight w:val="0"/>
                  <w:marTop w:val="60"/>
                  <w:marBottom w:val="60"/>
                  <w:divBdr>
                    <w:top w:val="none" w:sz="0" w:space="0" w:color="auto"/>
                    <w:left w:val="none" w:sz="0" w:space="0" w:color="auto"/>
                    <w:bottom w:val="none" w:sz="0" w:space="0" w:color="auto"/>
                    <w:right w:val="none" w:sz="0" w:space="0" w:color="auto"/>
                  </w:divBdr>
                </w:div>
                <w:div w:id="291596432">
                  <w:marLeft w:val="0"/>
                  <w:marRight w:val="0"/>
                  <w:marTop w:val="0"/>
                  <w:marBottom w:val="0"/>
                  <w:divBdr>
                    <w:top w:val="none" w:sz="0" w:space="0" w:color="auto"/>
                    <w:left w:val="none" w:sz="0" w:space="0" w:color="auto"/>
                    <w:bottom w:val="none" w:sz="0" w:space="0" w:color="auto"/>
                    <w:right w:val="none" w:sz="0" w:space="0" w:color="auto"/>
                  </w:divBdr>
                  <w:divsChild>
                    <w:div w:id="1534928309">
                      <w:marLeft w:val="0"/>
                      <w:marRight w:val="0"/>
                      <w:marTop w:val="60"/>
                      <w:marBottom w:val="60"/>
                      <w:divBdr>
                        <w:top w:val="none" w:sz="0" w:space="0" w:color="auto"/>
                        <w:left w:val="none" w:sz="0" w:space="0" w:color="auto"/>
                        <w:bottom w:val="none" w:sz="0" w:space="0" w:color="auto"/>
                        <w:right w:val="none" w:sz="0" w:space="0" w:color="auto"/>
                      </w:divBdr>
                    </w:div>
                  </w:divsChild>
                </w:div>
                <w:div w:id="1548177727">
                  <w:marLeft w:val="0"/>
                  <w:marRight w:val="0"/>
                  <w:marTop w:val="0"/>
                  <w:marBottom w:val="0"/>
                  <w:divBdr>
                    <w:top w:val="none" w:sz="0" w:space="0" w:color="auto"/>
                    <w:left w:val="none" w:sz="0" w:space="0" w:color="auto"/>
                    <w:bottom w:val="none" w:sz="0" w:space="0" w:color="auto"/>
                    <w:right w:val="none" w:sz="0" w:space="0" w:color="auto"/>
                  </w:divBdr>
                  <w:divsChild>
                    <w:div w:id="369305871">
                      <w:marLeft w:val="0"/>
                      <w:marRight w:val="0"/>
                      <w:marTop w:val="60"/>
                      <w:marBottom w:val="60"/>
                      <w:divBdr>
                        <w:top w:val="none" w:sz="0" w:space="0" w:color="auto"/>
                        <w:left w:val="none" w:sz="0" w:space="0" w:color="auto"/>
                        <w:bottom w:val="none" w:sz="0" w:space="0" w:color="auto"/>
                        <w:right w:val="none" w:sz="0" w:space="0" w:color="auto"/>
                      </w:divBdr>
                    </w:div>
                  </w:divsChild>
                </w:div>
                <w:div w:id="1836874408">
                  <w:marLeft w:val="0"/>
                  <w:marRight w:val="0"/>
                  <w:marTop w:val="0"/>
                  <w:marBottom w:val="0"/>
                  <w:divBdr>
                    <w:top w:val="none" w:sz="0" w:space="0" w:color="auto"/>
                    <w:left w:val="none" w:sz="0" w:space="0" w:color="auto"/>
                    <w:bottom w:val="none" w:sz="0" w:space="0" w:color="auto"/>
                    <w:right w:val="none" w:sz="0" w:space="0" w:color="auto"/>
                  </w:divBdr>
                  <w:divsChild>
                    <w:div w:id="1968389310">
                      <w:marLeft w:val="0"/>
                      <w:marRight w:val="0"/>
                      <w:marTop w:val="60"/>
                      <w:marBottom w:val="60"/>
                      <w:divBdr>
                        <w:top w:val="none" w:sz="0" w:space="0" w:color="auto"/>
                        <w:left w:val="none" w:sz="0" w:space="0" w:color="auto"/>
                        <w:bottom w:val="none" w:sz="0" w:space="0" w:color="auto"/>
                        <w:right w:val="none" w:sz="0" w:space="0" w:color="auto"/>
                      </w:divBdr>
                    </w:div>
                  </w:divsChild>
                </w:div>
                <w:div w:id="280496020">
                  <w:marLeft w:val="0"/>
                  <w:marRight w:val="0"/>
                  <w:marTop w:val="0"/>
                  <w:marBottom w:val="0"/>
                  <w:divBdr>
                    <w:top w:val="none" w:sz="0" w:space="0" w:color="auto"/>
                    <w:left w:val="none" w:sz="0" w:space="0" w:color="auto"/>
                    <w:bottom w:val="none" w:sz="0" w:space="0" w:color="auto"/>
                    <w:right w:val="none" w:sz="0" w:space="0" w:color="auto"/>
                  </w:divBdr>
                  <w:divsChild>
                    <w:div w:id="464156066">
                      <w:marLeft w:val="0"/>
                      <w:marRight w:val="0"/>
                      <w:marTop w:val="60"/>
                      <w:marBottom w:val="60"/>
                      <w:divBdr>
                        <w:top w:val="none" w:sz="0" w:space="0" w:color="auto"/>
                        <w:left w:val="none" w:sz="0" w:space="0" w:color="auto"/>
                        <w:bottom w:val="none" w:sz="0" w:space="0" w:color="auto"/>
                        <w:right w:val="none" w:sz="0" w:space="0" w:color="auto"/>
                      </w:divBdr>
                    </w:div>
                  </w:divsChild>
                </w:div>
                <w:div w:id="1482847002">
                  <w:marLeft w:val="0"/>
                  <w:marRight w:val="0"/>
                  <w:marTop w:val="0"/>
                  <w:marBottom w:val="0"/>
                  <w:divBdr>
                    <w:top w:val="none" w:sz="0" w:space="0" w:color="auto"/>
                    <w:left w:val="none" w:sz="0" w:space="0" w:color="auto"/>
                    <w:bottom w:val="none" w:sz="0" w:space="0" w:color="auto"/>
                    <w:right w:val="none" w:sz="0" w:space="0" w:color="auto"/>
                  </w:divBdr>
                  <w:divsChild>
                    <w:div w:id="917400369">
                      <w:marLeft w:val="0"/>
                      <w:marRight w:val="0"/>
                      <w:marTop w:val="60"/>
                      <w:marBottom w:val="60"/>
                      <w:divBdr>
                        <w:top w:val="none" w:sz="0" w:space="0" w:color="auto"/>
                        <w:left w:val="none" w:sz="0" w:space="0" w:color="auto"/>
                        <w:bottom w:val="none" w:sz="0" w:space="0" w:color="auto"/>
                        <w:right w:val="none" w:sz="0" w:space="0" w:color="auto"/>
                      </w:divBdr>
                    </w:div>
                  </w:divsChild>
                </w:div>
                <w:div w:id="1524636125">
                  <w:marLeft w:val="0"/>
                  <w:marRight w:val="0"/>
                  <w:marTop w:val="0"/>
                  <w:marBottom w:val="0"/>
                  <w:divBdr>
                    <w:top w:val="none" w:sz="0" w:space="0" w:color="auto"/>
                    <w:left w:val="none" w:sz="0" w:space="0" w:color="auto"/>
                    <w:bottom w:val="none" w:sz="0" w:space="0" w:color="auto"/>
                    <w:right w:val="none" w:sz="0" w:space="0" w:color="auto"/>
                  </w:divBdr>
                  <w:divsChild>
                    <w:div w:id="1244025907">
                      <w:marLeft w:val="0"/>
                      <w:marRight w:val="0"/>
                      <w:marTop w:val="60"/>
                      <w:marBottom w:val="60"/>
                      <w:divBdr>
                        <w:top w:val="none" w:sz="0" w:space="0" w:color="auto"/>
                        <w:left w:val="none" w:sz="0" w:space="0" w:color="auto"/>
                        <w:bottom w:val="none" w:sz="0" w:space="0" w:color="auto"/>
                        <w:right w:val="none" w:sz="0" w:space="0" w:color="auto"/>
                      </w:divBdr>
                    </w:div>
                  </w:divsChild>
                </w:div>
                <w:div w:id="595985476">
                  <w:marLeft w:val="0"/>
                  <w:marRight w:val="0"/>
                  <w:marTop w:val="0"/>
                  <w:marBottom w:val="0"/>
                  <w:divBdr>
                    <w:top w:val="none" w:sz="0" w:space="0" w:color="auto"/>
                    <w:left w:val="none" w:sz="0" w:space="0" w:color="auto"/>
                    <w:bottom w:val="none" w:sz="0" w:space="0" w:color="auto"/>
                    <w:right w:val="none" w:sz="0" w:space="0" w:color="auto"/>
                  </w:divBdr>
                  <w:divsChild>
                    <w:div w:id="81725912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1880731">
              <w:marLeft w:val="0"/>
              <w:marRight w:val="0"/>
              <w:marTop w:val="0"/>
              <w:marBottom w:val="0"/>
              <w:divBdr>
                <w:top w:val="none" w:sz="0" w:space="0" w:color="auto"/>
                <w:left w:val="none" w:sz="0" w:space="0" w:color="auto"/>
                <w:bottom w:val="none" w:sz="0" w:space="0" w:color="auto"/>
                <w:right w:val="none" w:sz="0" w:space="0" w:color="auto"/>
              </w:divBdr>
              <w:divsChild>
                <w:div w:id="1202983540">
                  <w:marLeft w:val="0"/>
                  <w:marRight w:val="0"/>
                  <w:marTop w:val="60"/>
                  <w:marBottom w:val="60"/>
                  <w:divBdr>
                    <w:top w:val="none" w:sz="0" w:space="0" w:color="auto"/>
                    <w:left w:val="none" w:sz="0" w:space="0" w:color="auto"/>
                    <w:bottom w:val="none" w:sz="0" w:space="0" w:color="auto"/>
                    <w:right w:val="none" w:sz="0" w:space="0" w:color="auto"/>
                  </w:divBdr>
                </w:div>
                <w:div w:id="1328166106">
                  <w:marLeft w:val="0"/>
                  <w:marRight w:val="0"/>
                  <w:marTop w:val="0"/>
                  <w:marBottom w:val="0"/>
                  <w:divBdr>
                    <w:top w:val="none" w:sz="0" w:space="0" w:color="auto"/>
                    <w:left w:val="none" w:sz="0" w:space="0" w:color="auto"/>
                    <w:bottom w:val="none" w:sz="0" w:space="0" w:color="auto"/>
                    <w:right w:val="none" w:sz="0" w:space="0" w:color="auto"/>
                  </w:divBdr>
                  <w:divsChild>
                    <w:div w:id="1967157883">
                      <w:marLeft w:val="0"/>
                      <w:marRight w:val="0"/>
                      <w:marTop w:val="60"/>
                      <w:marBottom w:val="60"/>
                      <w:divBdr>
                        <w:top w:val="none" w:sz="0" w:space="0" w:color="auto"/>
                        <w:left w:val="none" w:sz="0" w:space="0" w:color="auto"/>
                        <w:bottom w:val="none" w:sz="0" w:space="0" w:color="auto"/>
                        <w:right w:val="none" w:sz="0" w:space="0" w:color="auto"/>
                      </w:divBdr>
                    </w:div>
                  </w:divsChild>
                </w:div>
                <w:div w:id="2082362997">
                  <w:marLeft w:val="0"/>
                  <w:marRight w:val="0"/>
                  <w:marTop w:val="0"/>
                  <w:marBottom w:val="0"/>
                  <w:divBdr>
                    <w:top w:val="none" w:sz="0" w:space="0" w:color="auto"/>
                    <w:left w:val="none" w:sz="0" w:space="0" w:color="auto"/>
                    <w:bottom w:val="none" w:sz="0" w:space="0" w:color="auto"/>
                    <w:right w:val="none" w:sz="0" w:space="0" w:color="auto"/>
                  </w:divBdr>
                  <w:divsChild>
                    <w:div w:id="692651319">
                      <w:marLeft w:val="0"/>
                      <w:marRight w:val="0"/>
                      <w:marTop w:val="60"/>
                      <w:marBottom w:val="60"/>
                      <w:divBdr>
                        <w:top w:val="none" w:sz="0" w:space="0" w:color="auto"/>
                        <w:left w:val="none" w:sz="0" w:space="0" w:color="auto"/>
                        <w:bottom w:val="none" w:sz="0" w:space="0" w:color="auto"/>
                        <w:right w:val="none" w:sz="0" w:space="0" w:color="auto"/>
                      </w:divBdr>
                    </w:div>
                  </w:divsChild>
                </w:div>
                <w:div w:id="191768739">
                  <w:marLeft w:val="0"/>
                  <w:marRight w:val="0"/>
                  <w:marTop w:val="0"/>
                  <w:marBottom w:val="0"/>
                  <w:divBdr>
                    <w:top w:val="none" w:sz="0" w:space="0" w:color="auto"/>
                    <w:left w:val="none" w:sz="0" w:space="0" w:color="auto"/>
                    <w:bottom w:val="none" w:sz="0" w:space="0" w:color="auto"/>
                    <w:right w:val="none" w:sz="0" w:space="0" w:color="auto"/>
                  </w:divBdr>
                  <w:divsChild>
                    <w:div w:id="179779413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49658532">
              <w:marLeft w:val="0"/>
              <w:marRight w:val="0"/>
              <w:marTop w:val="0"/>
              <w:marBottom w:val="0"/>
              <w:divBdr>
                <w:top w:val="none" w:sz="0" w:space="0" w:color="auto"/>
                <w:left w:val="none" w:sz="0" w:space="0" w:color="auto"/>
                <w:bottom w:val="none" w:sz="0" w:space="0" w:color="auto"/>
                <w:right w:val="none" w:sz="0" w:space="0" w:color="auto"/>
              </w:divBdr>
              <w:divsChild>
                <w:div w:id="1881018179">
                  <w:marLeft w:val="0"/>
                  <w:marRight w:val="0"/>
                  <w:marTop w:val="60"/>
                  <w:marBottom w:val="60"/>
                  <w:divBdr>
                    <w:top w:val="none" w:sz="0" w:space="0" w:color="auto"/>
                    <w:left w:val="none" w:sz="0" w:space="0" w:color="auto"/>
                    <w:bottom w:val="none" w:sz="0" w:space="0" w:color="auto"/>
                    <w:right w:val="none" w:sz="0" w:space="0" w:color="auto"/>
                  </w:divBdr>
                </w:div>
                <w:div w:id="1379471768">
                  <w:marLeft w:val="0"/>
                  <w:marRight w:val="0"/>
                  <w:marTop w:val="0"/>
                  <w:marBottom w:val="0"/>
                  <w:divBdr>
                    <w:top w:val="none" w:sz="0" w:space="0" w:color="auto"/>
                    <w:left w:val="none" w:sz="0" w:space="0" w:color="auto"/>
                    <w:bottom w:val="none" w:sz="0" w:space="0" w:color="auto"/>
                    <w:right w:val="none" w:sz="0" w:space="0" w:color="auto"/>
                  </w:divBdr>
                  <w:divsChild>
                    <w:div w:id="421293203">
                      <w:marLeft w:val="0"/>
                      <w:marRight w:val="0"/>
                      <w:marTop w:val="60"/>
                      <w:marBottom w:val="60"/>
                      <w:divBdr>
                        <w:top w:val="none" w:sz="0" w:space="0" w:color="auto"/>
                        <w:left w:val="none" w:sz="0" w:space="0" w:color="auto"/>
                        <w:bottom w:val="none" w:sz="0" w:space="0" w:color="auto"/>
                        <w:right w:val="none" w:sz="0" w:space="0" w:color="auto"/>
                      </w:divBdr>
                    </w:div>
                  </w:divsChild>
                </w:div>
                <w:div w:id="959454534">
                  <w:marLeft w:val="0"/>
                  <w:marRight w:val="0"/>
                  <w:marTop w:val="0"/>
                  <w:marBottom w:val="0"/>
                  <w:divBdr>
                    <w:top w:val="none" w:sz="0" w:space="0" w:color="auto"/>
                    <w:left w:val="none" w:sz="0" w:space="0" w:color="auto"/>
                    <w:bottom w:val="none" w:sz="0" w:space="0" w:color="auto"/>
                    <w:right w:val="none" w:sz="0" w:space="0" w:color="auto"/>
                  </w:divBdr>
                  <w:divsChild>
                    <w:div w:id="32290099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059894165">
              <w:marLeft w:val="0"/>
              <w:marRight w:val="0"/>
              <w:marTop w:val="0"/>
              <w:marBottom w:val="0"/>
              <w:divBdr>
                <w:top w:val="none" w:sz="0" w:space="0" w:color="auto"/>
                <w:left w:val="none" w:sz="0" w:space="0" w:color="auto"/>
                <w:bottom w:val="none" w:sz="0" w:space="0" w:color="auto"/>
                <w:right w:val="none" w:sz="0" w:space="0" w:color="auto"/>
              </w:divBdr>
              <w:divsChild>
                <w:div w:id="1489782040">
                  <w:marLeft w:val="0"/>
                  <w:marRight w:val="0"/>
                  <w:marTop w:val="60"/>
                  <w:marBottom w:val="60"/>
                  <w:divBdr>
                    <w:top w:val="none" w:sz="0" w:space="0" w:color="auto"/>
                    <w:left w:val="none" w:sz="0" w:space="0" w:color="auto"/>
                    <w:bottom w:val="none" w:sz="0" w:space="0" w:color="auto"/>
                    <w:right w:val="none" w:sz="0" w:space="0" w:color="auto"/>
                  </w:divBdr>
                </w:div>
              </w:divsChild>
            </w:div>
            <w:div w:id="465584955">
              <w:marLeft w:val="0"/>
              <w:marRight w:val="0"/>
              <w:marTop w:val="0"/>
              <w:marBottom w:val="0"/>
              <w:divBdr>
                <w:top w:val="none" w:sz="0" w:space="0" w:color="auto"/>
                <w:left w:val="none" w:sz="0" w:space="0" w:color="auto"/>
                <w:bottom w:val="none" w:sz="0" w:space="0" w:color="auto"/>
                <w:right w:val="none" w:sz="0" w:space="0" w:color="auto"/>
              </w:divBdr>
              <w:divsChild>
                <w:div w:id="1903252286">
                  <w:marLeft w:val="0"/>
                  <w:marRight w:val="0"/>
                  <w:marTop w:val="60"/>
                  <w:marBottom w:val="60"/>
                  <w:divBdr>
                    <w:top w:val="none" w:sz="0" w:space="0" w:color="auto"/>
                    <w:left w:val="none" w:sz="0" w:space="0" w:color="auto"/>
                    <w:bottom w:val="none" w:sz="0" w:space="0" w:color="auto"/>
                    <w:right w:val="none" w:sz="0" w:space="0" w:color="auto"/>
                  </w:divBdr>
                </w:div>
              </w:divsChild>
            </w:div>
            <w:div w:id="543252283">
              <w:marLeft w:val="0"/>
              <w:marRight w:val="0"/>
              <w:marTop w:val="0"/>
              <w:marBottom w:val="0"/>
              <w:divBdr>
                <w:top w:val="none" w:sz="0" w:space="0" w:color="auto"/>
                <w:left w:val="none" w:sz="0" w:space="0" w:color="auto"/>
                <w:bottom w:val="none" w:sz="0" w:space="0" w:color="auto"/>
                <w:right w:val="none" w:sz="0" w:space="0" w:color="auto"/>
              </w:divBdr>
              <w:divsChild>
                <w:div w:id="1069962030">
                  <w:marLeft w:val="0"/>
                  <w:marRight w:val="0"/>
                  <w:marTop w:val="60"/>
                  <w:marBottom w:val="60"/>
                  <w:divBdr>
                    <w:top w:val="none" w:sz="0" w:space="0" w:color="auto"/>
                    <w:left w:val="none" w:sz="0" w:space="0" w:color="auto"/>
                    <w:bottom w:val="none" w:sz="0" w:space="0" w:color="auto"/>
                    <w:right w:val="none" w:sz="0" w:space="0" w:color="auto"/>
                  </w:divBdr>
                </w:div>
              </w:divsChild>
            </w:div>
            <w:div w:id="1336153709">
              <w:marLeft w:val="0"/>
              <w:marRight w:val="0"/>
              <w:marTop w:val="0"/>
              <w:marBottom w:val="0"/>
              <w:divBdr>
                <w:top w:val="none" w:sz="0" w:space="0" w:color="auto"/>
                <w:left w:val="none" w:sz="0" w:space="0" w:color="auto"/>
                <w:bottom w:val="none" w:sz="0" w:space="0" w:color="auto"/>
                <w:right w:val="none" w:sz="0" w:space="0" w:color="auto"/>
              </w:divBdr>
              <w:divsChild>
                <w:div w:id="259265009">
                  <w:marLeft w:val="0"/>
                  <w:marRight w:val="0"/>
                  <w:marTop w:val="60"/>
                  <w:marBottom w:val="60"/>
                  <w:divBdr>
                    <w:top w:val="none" w:sz="0" w:space="0" w:color="auto"/>
                    <w:left w:val="none" w:sz="0" w:space="0" w:color="auto"/>
                    <w:bottom w:val="none" w:sz="0" w:space="0" w:color="auto"/>
                    <w:right w:val="none" w:sz="0" w:space="0" w:color="auto"/>
                  </w:divBdr>
                </w:div>
              </w:divsChild>
            </w:div>
            <w:div w:id="1333526934">
              <w:marLeft w:val="0"/>
              <w:marRight w:val="0"/>
              <w:marTop w:val="0"/>
              <w:marBottom w:val="0"/>
              <w:divBdr>
                <w:top w:val="none" w:sz="0" w:space="0" w:color="auto"/>
                <w:left w:val="none" w:sz="0" w:space="0" w:color="auto"/>
                <w:bottom w:val="none" w:sz="0" w:space="0" w:color="auto"/>
                <w:right w:val="none" w:sz="0" w:space="0" w:color="auto"/>
              </w:divBdr>
              <w:divsChild>
                <w:div w:id="1395010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260603236">
      <w:bodyDiv w:val="1"/>
      <w:marLeft w:val="0"/>
      <w:marRight w:val="0"/>
      <w:marTop w:val="0"/>
      <w:marBottom w:val="0"/>
      <w:divBdr>
        <w:top w:val="none" w:sz="0" w:space="0" w:color="auto"/>
        <w:left w:val="none" w:sz="0" w:space="0" w:color="auto"/>
        <w:bottom w:val="none" w:sz="0" w:space="0" w:color="auto"/>
        <w:right w:val="none" w:sz="0" w:space="0" w:color="auto"/>
      </w:divBdr>
    </w:div>
    <w:div w:id="1267612912">
      <w:bodyDiv w:val="1"/>
      <w:marLeft w:val="0"/>
      <w:marRight w:val="0"/>
      <w:marTop w:val="0"/>
      <w:marBottom w:val="0"/>
      <w:divBdr>
        <w:top w:val="none" w:sz="0" w:space="0" w:color="auto"/>
        <w:left w:val="none" w:sz="0" w:space="0" w:color="auto"/>
        <w:bottom w:val="none" w:sz="0" w:space="0" w:color="auto"/>
        <w:right w:val="none" w:sz="0" w:space="0" w:color="auto"/>
      </w:divBdr>
    </w:div>
    <w:div w:id="1275019772">
      <w:bodyDiv w:val="1"/>
      <w:marLeft w:val="0"/>
      <w:marRight w:val="0"/>
      <w:marTop w:val="0"/>
      <w:marBottom w:val="0"/>
      <w:divBdr>
        <w:top w:val="none" w:sz="0" w:space="0" w:color="auto"/>
        <w:left w:val="none" w:sz="0" w:space="0" w:color="auto"/>
        <w:bottom w:val="none" w:sz="0" w:space="0" w:color="auto"/>
        <w:right w:val="none" w:sz="0" w:space="0" w:color="auto"/>
      </w:divBdr>
    </w:div>
    <w:div w:id="1285120215">
      <w:bodyDiv w:val="1"/>
      <w:marLeft w:val="0"/>
      <w:marRight w:val="0"/>
      <w:marTop w:val="0"/>
      <w:marBottom w:val="0"/>
      <w:divBdr>
        <w:top w:val="none" w:sz="0" w:space="0" w:color="auto"/>
        <w:left w:val="none" w:sz="0" w:space="0" w:color="auto"/>
        <w:bottom w:val="none" w:sz="0" w:space="0" w:color="auto"/>
        <w:right w:val="none" w:sz="0" w:space="0" w:color="auto"/>
      </w:divBdr>
    </w:div>
    <w:div w:id="1296834884">
      <w:bodyDiv w:val="1"/>
      <w:marLeft w:val="0"/>
      <w:marRight w:val="0"/>
      <w:marTop w:val="0"/>
      <w:marBottom w:val="0"/>
      <w:divBdr>
        <w:top w:val="none" w:sz="0" w:space="0" w:color="auto"/>
        <w:left w:val="none" w:sz="0" w:space="0" w:color="auto"/>
        <w:bottom w:val="none" w:sz="0" w:space="0" w:color="auto"/>
        <w:right w:val="none" w:sz="0" w:space="0" w:color="auto"/>
      </w:divBdr>
    </w:div>
    <w:div w:id="1312830239">
      <w:bodyDiv w:val="1"/>
      <w:marLeft w:val="0"/>
      <w:marRight w:val="0"/>
      <w:marTop w:val="0"/>
      <w:marBottom w:val="0"/>
      <w:divBdr>
        <w:top w:val="none" w:sz="0" w:space="0" w:color="auto"/>
        <w:left w:val="none" w:sz="0" w:space="0" w:color="auto"/>
        <w:bottom w:val="none" w:sz="0" w:space="0" w:color="auto"/>
        <w:right w:val="none" w:sz="0" w:space="0" w:color="auto"/>
      </w:divBdr>
    </w:div>
    <w:div w:id="1339582611">
      <w:bodyDiv w:val="1"/>
      <w:marLeft w:val="0"/>
      <w:marRight w:val="0"/>
      <w:marTop w:val="0"/>
      <w:marBottom w:val="0"/>
      <w:divBdr>
        <w:top w:val="none" w:sz="0" w:space="0" w:color="auto"/>
        <w:left w:val="none" w:sz="0" w:space="0" w:color="auto"/>
        <w:bottom w:val="none" w:sz="0" w:space="0" w:color="auto"/>
        <w:right w:val="none" w:sz="0" w:space="0" w:color="auto"/>
      </w:divBdr>
    </w:div>
    <w:div w:id="1347826904">
      <w:bodyDiv w:val="1"/>
      <w:marLeft w:val="0"/>
      <w:marRight w:val="0"/>
      <w:marTop w:val="0"/>
      <w:marBottom w:val="0"/>
      <w:divBdr>
        <w:top w:val="none" w:sz="0" w:space="0" w:color="auto"/>
        <w:left w:val="none" w:sz="0" w:space="0" w:color="auto"/>
        <w:bottom w:val="none" w:sz="0" w:space="0" w:color="auto"/>
        <w:right w:val="none" w:sz="0" w:space="0" w:color="auto"/>
      </w:divBdr>
    </w:div>
    <w:div w:id="1358114608">
      <w:bodyDiv w:val="1"/>
      <w:marLeft w:val="0"/>
      <w:marRight w:val="0"/>
      <w:marTop w:val="0"/>
      <w:marBottom w:val="0"/>
      <w:divBdr>
        <w:top w:val="none" w:sz="0" w:space="0" w:color="auto"/>
        <w:left w:val="none" w:sz="0" w:space="0" w:color="auto"/>
        <w:bottom w:val="none" w:sz="0" w:space="0" w:color="auto"/>
        <w:right w:val="none" w:sz="0" w:space="0" w:color="auto"/>
      </w:divBdr>
    </w:div>
    <w:div w:id="1367632372">
      <w:bodyDiv w:val="1"/>
      <w:marLeft w:val="0"/>
      <w:marRight w:val="0"/>
      <w:marTop w:val="0"/>
      <w:marBottom w:val="0"/>
      <w:divBdr>
        <w:top w:val="none" w:sz="0" w:space="0" w:color="auto"/>
        <w:left w:val="none" w:sz="0" w:space="0" w:color="auto"/>
        <w:bottom w:val="none" w:sz="0" w:space="0" w:color="auto"/>
        <w:right w:val="none" w:sz="0" w:space="0" w:color="auto"/>
      </w:divBdr>
    </w:div>
    <w:div w:id="1409768777">
      <w:bodyDiv w:val="1"/>
      <w:marLeft w:val="0"/>
      <w:marRight w:val="0"/>
      <w:marTop w:val="0"/>
      <w:marBottom w:val="0"/>
      <w:divBdr>
        <w:top w:val="none" w:sz="0" w:space="0" w:color="auto"/>
        <w:left w:val="none" w:sz="0" w:space="0" w:color="auto"/>
        <w:bottom w:val="none" w:sz="0" w:space="0" w:color="auto"/>
        <w:right w:val="none" w:sz="0" w:space="0" w:color="auto"/>
      </w:divBdr>
    </w:div>
    <w:div w:id="1448742620">
      <w:bodyDiv w:val="1"/>
      <w:marLeft w:val="0"/>
      <w:marRight w:val="0"/>
      <w:marTop w:val="0"/>
      <w:marBottom w:val="0"/>
      <w:divBdr>
        <w:top w:val="none" w:sz="0" w:space="0" w:color="auto"/>
        <w:left w:val="none" w:sz="0" w:space="0" w:color="auto"/>
        <w:bottom w:val="none" w:sz="0" w:space="0" w:color="auto"/>
        <w:right w:val="none" w:sz="0" w:space="0" w:color="auto"/>
      </w:divBdr>
    </w:div>
    <w:div w:id="1515924998">
      <w:bodyDiv w:val="1"/>
      <w:marLeft w:val="0"/>
      <w:marRight w:val="0"/>
      <w:marTop w:val="0"/>
      <w:marBottom w:val="0"/>
      <w:divBdr>
        <w:top w:val="none" w:sz="0" w:space="0" w:color="auto"/>
        <w:left w:val="none" w:sz="0" w:space="0" w:color="auto"/>
        <w:bottom w:val="none" w:sz="0" w:space="0" w:color="auto"/>
        <w:right w:val="none" w:sz="0" w:space="0" w:color="auto"/>
      </w:divBdr>
    </w:div>
    <w:div w:id="1561751103">
      <w:bodyDiv w:val="1"/>
      <w:marLeft w:val="0"/>
      <w:marRight w:val="0"/>
      <w:marTop w:val="0"/>
      <w:marBottom w:val="0"/>
      <w:divBdr>
        <w:top w:val="none" w:sz="0" w:space="0" w:color="auto"/>
        <w:left w:val="none" w:sz="0" w:space="0" w:color="auto"/>
        <w:bottom w:val="none" w:sz="0" w:space="0" w:color="auto"/>
        <w:right w:val="none" w:sz="0" w:space="0" w:color="auto"/>
      </w:divBdr>
    </w:div>
    <w:div w:id="1577517348">
      <w:bodyDiv w:val="1"/>
      <w:marLeft w:val="0"/>
      <w:marRight w:val="0"/>
      <w:marTop w:val="0"/>
      <w:marBottom w:val="0"/>
      <w:divBdr>
        <w:top w:val="none" w:sz="0" w:space="0" w:color="auto"/>
        <w:left w:val="none" w:sz="0" w:space="0" w:color="auto"/>
        <w:bottom w:val="none" w:sz="0" w:space="0" w:color="auto"/>
        <w:right w:val="none" w:sz="0" w:space="0" w:color="auto"/>
      </w:divBdr>
    </w:div>
    <w:div w:id="1617910487">
      <w:bodyDiv w:val="1"/>
      <w:marLeft w:val="0"/>
      <w:marRight w:val="0"/>
      <w:marTop w:val="0"/>
      <w:marBottom w:val="0"/>
      <w:divBdr>
        <w:top w:val="none" w:sz="0" w:space="0" w:color="auto"/>
        <w:left w:val="none" w:sz="0" w:space="0" w:color="auto"/>
        <w:bottom w:val="none" w:sz="0" w:space="0" w:color="auto"/>
        <w:right w:val="none" w:sz="0" w:space="0" w:color="auto"/>
      </w:divBdr>
    </w:div>
    <w:div w:id="1668089499">
      <w:bodyDiv w:val="1"/>
      <w:marLeft w:val="0"/>
      <w:marRight w:val="0"/>
      <w:marTop w:val="0"/>
      <w:marBottom w:val="0"/>
      <w:divBdr>
        <w:top w:val="none" w:sz="0" w:space="0" w:color="auto"/>
        <w:left w:val="none" w:sz="0" w:space="0" w:color="auto"/>
        <w:bottom w:val="none" w:sz="0" w:space="0" w:color="auto"/>
        <w:right w:val="none" w:sz="0" w:space="0" w:color="auto"/>
      </w:divBdr>
    </w:div>
    <w:div w:id="1690063046">
      <w:bodyDiv w:val="1"/>
      <w:marLeft w:val="0"/>
      <w:marRight w:val="0"/>
      <w:marTop w:val="0"/>
      <w:marBottom w:val="0"/>
      <w:divBdr>
        <w:top w:val="none" w:sz="0" w:space="0" w:color="auto"/>
        <w:left w:val="none" w:sz="0" w:space="0" w:color="auto"/>
        <w:bottom w:val="none" w:sz="0" w:space="0" w:color="auto"/>
        <w:right w:val="none" w:sz="0" w:space="0" w:color="auto"/>
      </w:divBdr>
    </w:div>
    <w:div w:id="1701587532">
      <w:bodyDiv w:val="1"/>
      <w:marLeft w:val="0"/>
      <w:marRight w:val="0"/>
      <w:marTop w:val="0"/>
      <w:marBottom w:val="0"/>
      <w:divBdr>
        <w:top w:val="none" w:sz="0" w:space="0" w:color="auto"/>
        <w:left w:val="none" w:sz="0" w:space="0" w:color="auto"/>
        <w:bottom w:val="none" w:sz="0" w:space="0" w:color="auto"/>
        <w:right w:val="none" w:sz="0" w:space="0" w:color="auto"/>
      </w:divBdr>
    </w:div>
    <w:div w:id="1711299763">
      <w:bodyDiv w:val="1"/>
      <w:marLeft w:val="0"/>
      <w:marRight w:val="0"/>
      <w:marTop w:val="0"/>
      <w:marBottom w:val="0"/>
      <w:divBdr>
        <w:top w:val="none" w:sz="0" w:space="0" w:color="auto"/>
        <w:left w:val="none" w:sz="0" w:space="0" w:color="auto"/>
        <w:bottom w:val="none" w:sz="0" w:space="0" w:color="auto"/>
        <w:right w:val="none" w:sz="0" w:space="0" w:color="auto"/>
      </w:divBdr>
    </w:div>
    <w:div w:id="1726098663">
      <w:bodyDiv w:val="1"/>
      <w:marLeft w:val="0"/>
      <w:marRight w:val="0"/>
      <w:marTop w:val="0"/>
      <w:marBottom w:val="0"/>
      <w:divBdr>
        <w:top w:val="none" w:sz="0" w:space="0" w:color="auto"/>
        <w:left w:val="none" w:sz="0" w:space="0" w:color="auto"/>
        <w:bottom w:val="none" w:sz="0" w:space="0" w:color="auto"/>
        <w:right w:val="none" w:sz="0" w:space="0" w:color="auto"/>
      </w:divBdr>
    </w:div>
    <w:div w:id="1734543543">
      <w:bodyDiv w:val="1"/>
      <w:marLeft w:val="0"/>
      <w:marRight w:val="0"/>
      <w:marTop w:val="0"/>
      <w:marBottom w:val="0"/>
      <w:divBdr>
        <w:top w:val="none" w:sz="0" w:space="0" w:color="auto"/>
        <w:left w:val="none" w:sz="0" w:space="0" w:color="auto"/>
        <w:bottom w:val="none" w:sz="0" w:space="0" w:color="auto"/>
        <w:right w:val="none" w:sz="0" w:space="0" w:color="auto"/>
      </w:divBdr>
    </w:div>
    <w:div w:id="1768650967">
      <w:bodyDiv w:val="1"/>
      <w:marLeft w:val="0"/>
      <w:marRight w:val="0"/>
      <w:marTop w:val="0"/>
      <w:marBottom w:val="0"/>
      <w:divBdr>
        <w:top w:val="none" w:sz="0" w:space="0" w:color="auto"/>
        <w:left w:val="none" w:sz="0" w:space="0" w:color="auto"/>
        <w:bottom w:val="none" w:sz="0" w:space="0" w:color="auto"/>
        <w:right w:val="none" w:sz="0" w:space="0" w:color="auto"/>
      </w:divBdr>
    </w:div>
    <w:div w:id="1769160435">
      <w:bodyDiv w:val="1"/>
      <w:marLeft w:val="0"/>
      <w:marRight w:val="0"/>
      <w:marTop w:val="0"/>
      <w:marBottom w:val="0"/>
      <w:divBdr>
        <w:top w:val="none" w:sz="0" w:space="0" w:color="auto"/>
        <w:left w:val="none" w:sz="0" w:space="0" w:color="auto"/>
        <w:bottom w:val="none" w:sz="0" w:space="0" w:color="auto"/>
        <w:right w:val="none" w:sz="0" w:space="0" w:color="auto"/>
      </w:divBdr>
      <w:divsChild>
        <w:div w:id="2012028171">
          <w:marLeft w:val="0"/>
          <w:marRight w:val="0"/>
          <w:marTop w:val="0"/>
          <w:marBottom w:val="0"/>
          <w:divBdr>
            <w:top w:val="none" w:sz="0" w:space="0" w:color="auto"/>
            <w:left w:val="none" w:sz="0" w:space="0" w:color="auto"/>
            <w:bottom w:val="none" w:sz="0" w:space="0" w:color="auto"/>
            <w:right w:val="none" w:sz="0" w:space="0" w:color="auto"/>
          </w:divBdr>
          <w:divsChild>
            <w:div w:id="37630125">
              <w:marLeft w:val="0"/>
              <w:marRight w:val="0"/>
              <w:marTop w:val="0"/>
              <w:marBottom w:val="0"/>
              <w:divBdr>
                <w:top w:val="none" w:sz="0" w:space="0" w:color="auto"/>
                <w:left w:val="none" w:sz="0" w:space="0" w:color="auto"/>
                <w:bottom w:val="none" w:sz="0" w:space="0" w:color="auto"/>
                <w:right w:val="none" w:sz="0" w:space="0" w:color="auto"/>
              </w:divBdr>
              <w:divsChild>
                <w:div w:id="525558487">
                  <w:marLeft w:val="0"/>
                  <w:marRight w:val="0"/>
                  <w:marTop w:val="60"/>
                  <w:marBottom w:val="60"/>
                  <w:divBdr>
                    <w:top w:val="none" w:sz="0" w:space="0" w:color="auto"/>
                    <w:left w:val="none" w:sz="0" w:space="0" w:color="auto"/>
                    <w:bottom w:val="none" w:sz="0" w:space="0" w:color="auto"/>
                    <w:right w:val="none" w:sz="0" w:space="0" w:color="auto"/>
                  </w:divBdr>
                </w:div>
              </w:divsChild>
            </w:div>
            <w:div w:id="584387542">
              <w:marLeft w:val="0"/>
              <w:marRight w:val="0"/>
              <w:marTop w:val="0"/>
              <w:marBottom w:val="0"/>
              <w:divBdr>
                <w:top w:val="none" w:sz="0" w:space="0" w:color="auto"/>
                <w:left w:val="none" w:sz="0" w:space="0" w:color="auto"/>
                <w:bottom w:val="none" w:sz="0" w:space="0" w:color="auto"/>
                <w:right w:val="none" w:sz="0" w:space="0" w:color="auto"/>
              </w:divBdr>
              <w:divsChild>
                <w:div w:id="1303341860">
                  <w:marLeft w:val="0"/>
                  <w:marRight w:val="0"/>
                  <w:marTop w:val="60"/>
                  <w:marBottom w:val="60"/>
                  <w:divBdr>
                    <w:top w:val="none" w:sz="0" w:space="0" w:color="auto"/>
                    <w:left w:val="none" w:sz="0" w:space="0" w:color="auto"/>
                    <w:bottom w:val="none" w:sz="0" w:space="0" w:color="auto"/>
                    <w:right w:val="none" w:sz="0" w:space="0" w:color="auto"/>
                  </w:divBdr>
                </w:div>
              </w:divsChild>
            </w:div>
            <w:div w:id="1402676690">
              <w:marLeft w:val="0"/>
              <w:marRight w:val="0"/>
              <w:marTop w:val="0"/>
              <w:marBottom w:val="0"/>
              <w:divBdr>
                <w:top w:val="none" w:sz="0" w:space="0" w:color="auto"/>
                <w:left w:val="none" w:sz="0" w:space="0" w:color="auto"/>
                <w:bottom w:val="none" w:sz="0" w:space="0" w:color="auto"/>
                <w:right w:val="none" w:sz="0" w:space="0" w:color="auto"/>
              </w:divBdr>
              <w:divsChild>
                <w:div w:id="621812039">
                  <w:marLeft w:val="0"/>
                  <w:marRight w:val="0"/>
                  <w:marTop w:val="60"/>
                  <w:marBottom w:val="60"/>
                  <w:divBdr>
                    <w:top w:val="none" w:sz="0" w:space="0" w:color="auto"/>
                    <w:left w:val="none" w:sz="0" w:space="0" w:color="auto"/>
                    <w:bottom w:val="none" w:sz="0" w:space="0" w:color="auto"/>
                    <w:right w:val="none" w:sz="0" w:space="0" w:color="auto"/>
                  </w:divBdr>
                </w:div>
              </w:divsChild>
            </w:div>
            <w:div w:id="1713378275">
              <w:marLeft w:val="0"/>
              <w:marRight w:val="0"/>
              <w:marTop w:val="0"/>
              <w:marBottom w:val="0"/>
              <w:divBdr>
                <w:top w:val="none" w:sz="0" w:space="0" w:color="auto"/>
                <w:left w:val="none" w:sz="0" w:space="0" w:color="auto"/>
                <w:bottom w:val="none" w:sz="0" w:space="0" w:color="auto"/>
                <w:right w:val="none" w:sz="0" w:space="0" w:color="auto"/>
              </w:divBdr>
              <w:divsChild>
                <w:div w:id="1402293880">
                  <w:marLeft w:val="0"/>
                  <w:marRight w:val="0"/>
                  <w:marTop w:val="60"/>
                  <w:marBottom w:val="60"/>
                  <w:divBdr>
                    <w:top w:val="none" w:sz="0" w:space="0" w:color="auto"/>
                    <w:left w:val="none" w:sz="0" w:space="0" w:color="auto"/>
                    <w:bottom w:val="none" w:sz="0" w:space="0" w:color="auto"/>
                    <w:right w:val="none" w:sz="0" w:space="0" w:color="auto"/>
                  </w:divBdr>
                </w:div>
              </w:divsChild>
            </w:div>
            <w:div w:id="664095502">
              <w:marLeft w:val="0"/>
              <w:marRight w:val="0"/>
              <w:marTop w:val="0"/>
              <w:marBottom w:val="0"/>
              <w:divBdr>
                <w:top w:val="none" w:sz="0" w:space="0" w:color="auto"/>
                <w:left w:val="none" w:sz="0" w:space="0" w:color="auto"/>
                <w:bottom w:val="none" w:sz="0" w:space="0" w:color="auto"/>
                <w:right w:val="none" w:sz="0" w:space="0" w:color="auto"/>
              </w:divBdr>
              <w:divsChild>
                <w:div w:id="136016457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787967116">
          <w:marLeft w:val="0"/>
          <w:marRight w:val="0"/>
          <w:marTop w:val="0"/>
          <w:marBottom w:val="0"/>
          <w:divBdr>
            <w:top w:val="none" w:sz="0" w:space="0" w:color="auto"/>
            <w:left w:val="none" w:sz="0" w:space="0" w:color="auto"/>
            <w:bottom w:val="none" w:sz="0" w:space="0" w:color="auto"/>
            <w:right w:val="none" w:sz="0" w:space="0" w:color="auto"/>
          </w:divBdr>
          <w:divsChild>
            <w:div w:id="1343899392">
              <w:marLeft w:val="0"/>
              <w:marRight w:val="0"/>
              <w:marTop w:val="0"/>
              <w:marBottom w:val="0"/>
              <w:divBdr>
                <w:top w:val="none" w:sz="0" w:space="0" w:color="auto"/>
                <w:left w:val="none" w:sz="0" w:space="0" w:color="auto"/>
                <w:bottom w:val="none" w:sz="0" w:space="0" w:color="auto"/>
                <w:right w:val="none" w:sz="0" w:space="0" w:color="auto"/>
              </w:divBdr>
            </w:div>
          </w:divsChild>
        </w:div>
        <w:div w:id="1114323908">
          <w:marLeft w:val="0"/>
          <w:marRight w:val="0"/>
          <w:marTop w:val="0"/>
          <w:marBottom w:val="0"/>
          <w:divBdr>
            <w:top w:val="none" w:sz="0" w:space="0" w:color="auto"/>
            <w:left w:val="none" w:sz="0" w:space="0" w:color="auto"/>
            <w:bottom w:val="none" w:sz="0" w:space="0" w:color="auto"/>
            <w:right w:val="none" w:sz="0" w:space="0" w:color="auto"/>
          </w:divBdr>
          <w:divsChild>
            <w:div w:id="2060278209">
              <w:marLeft w:val="0"/>
              <w:marRight w:val="0"/>
              <w:marTop w:val="60"/>
              <w:marBottom w:val="60"/>
              <w:divBdr>
                <w:top w:val="none" w:sz="0" w:space="0" w:color="auto"/>
                <w:left w:val="none" w:sz="0" w:space="0" w:color="auto"/>
                <w:bottom w:val="none" w:sz="0" w:space="0" w:color="auto"/>
                <w:right w:val="none" w:sz="0" w:space="0" w:color="auto"/>
              </w:divBdr>
            </w:div>
            <w:div w:id="640038757">
              <w:marLeft w:val="0"/>
              <w:marRight w:val="0"/>
              <w:marTop w:val="0"/>
              <w:marBottom w:val="0"/>
              <w:divBdr>
                <w:top w:val="none" w:sz="0" w:space="0" w:color="auto"/>
                <w:left w:val="none" w:sz="0" w:space="0" w:color="auto"/>
                <w:bottom w:val="none" w:sz="0" w:space="0" w:color="auto"/>
                <w:right w:val="none" w:sz="0" w:space="0" w:color="auto"/>
              </w:divBdr>
              <w:divsChild>
                <w:div w:id="1807354306">
                  <w:marLeft w:val="0"/>
                  <w:marRight w:val="0"/>
                  <w:marTop w:val="60"/>
                  <w:marBottom w:val="60"/>
                  <w:divBdr>
                    <w:top w:val="none" w:sz="0" w:space="0" w:color="auto"/>
                    <w:left w:val="none" w:sz="0" w:space="0" w:color="auto"/>
                    <w:bottom w:val="none" w:sz="0" w:space="0" w:color="auto"/>
                    <w:right w:val="none" w:sz="0" w:space="0" w:color="auto"/>
                  </w:divBdr>
                </w:div>
                <w:div w:id="539705357">
                  <w:marLeft w:val="0"/>
                  <w:marRight w:val="0"/>
                  <w:marTop w:val="0"/>
                  <w:marBottom w:val="0"/>
                  <w:divBdr>
                    <w:top w:val="none" w:sz="0" w:space="0" w:color="auto"/>
                    <w:left w:val="none" w:sz="0" w:space="0" w:color="auto"/>
                    <w:bottom w:val="none" w:sz="0" w:space="0" w:color="auto"/>
                    <w:right w:val="none" w:sz="0" w:space="0" w:color="auto"/>
                  </w:divBdr>
                  <w:divsChild>
                    <w:div w:id="1652322616">
                      <w:marLeft w:val="0"/>
                      <w:marRight w:val="0"/>
                      <w:marTop w:val="60"/>
                      <w:marBottom w:val="60"/>
                      <w:divBdr>
                        <w:top w:val="none" w:sz="0" w:space="0" w:color="auto"/>
                        <w:left w:val="none" w:sz="0" w:space="0" w:color="auto"/>
                        <w:bottom w:val="none" w:sz="0" w:space="0" w:color="auto"/>
                        <w:right w:val="none" w:sz="0" w:space="0" w:color="auto"/>
                      </w:divBdr>
                    </w:div>
                  </w:divsChild>
                </w:div>
                <w:div w:id="1427076855">
                  <w:marLeft w:val="0"/>
                  <w:marRight w:val="0"/>
                  <w:marTop w:val="0"/>
                  <w:marBottom w:val="0"/>
                  <w:divBdr>
                    <w:top w:val="none" w:sz="0" w:space="0" w:color="auto"/>
                    <w:left w:val="none" w:sz="0" w:space="0" w:color="auto"/>
                    <w:bottom w:val="none" w:sz="0" w:space="0" w:color="auto"/>
                    <w:right w:val="none" w:sz="0" w:space="0" w:color="auto"/>
                  </w:divBdr>
                  <w:divsChild>
                    <w:div w:id="984970594">
                      <w:marLeft w:val="0"/>
                      <w:marRight w:val="0"/>
                      <w:marTop w:val="60"/>
                      <w:marBottom w:val="60"/>
                      <w:divBdr>
                        <w:top w:val="none" w:sz="0" w:space="0" w:color="auto"/>
                        <w:left w:val="none" w:sz="0" w:space="0" w:color="auto"/>
                        <w:bottom w:val="none" w:sz="0" w:space="0" w:color="auto"/>
                        <w:right w:val="none" w:sz="0" w:space="0" w:color="auto"/>
                      </w:divBdr>
                    </w:div>
                  </w:divsChild>
                </w:div>
                <w:div w:id="131757172">
                  <w:marLeft w:val="0"/>
                  <w:marRight w:val="0"/>
                  <w:marTop w:val="0"/>
                  <w:marBottom w:val="0"/>
                  <w:divBdr>
                    <w:top w:val="none" w:sz="0" w:space="0" w:color="auto"/>
                    <w:left w:val="none" w:sz="0" w:space="0" w:color="auto"/>
                    <w:bottom w:val="none" w:sz="0" w:space="0" w:color="auto"/>
                    <w:right w:val="none" w:sz="0" w:space="0" w:color="auto"/>
                  </w:divBdr>
                  <w:divsChild>
                    <w:div w:id="18174810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62911153">
              <w:marLeft w:val="0"/>
              <w:marRight w:val="0"/>
              <w:marTop w:val="0"/>
              <w:marBottom w:val="0"/>
              <w:divBdr>
                <w:top w:val="none" w:sz="0" w:space="0" w:color="auto"/>
                <w:left w:val="none" w:sz="0" w:space="0" w:color="auto"/>
                <w:bottom w:val="none" w:sz="0" w:space="0" w:color="auto"/>
                <w:right w:val="none" w:sz="0" w:space="0" w:color="auto"/>
              </w:divBdr>
              <w:divsChild>
                <w:div w:id="1219515352">
                  <w:marLeft w:val="0"/>
                  <w:marRight w:val="0"/>
                  <w:marTop w:val="60"/>
                  <w:marBottom w:val="60"/>
                  <w:divBdr>
                    <w:top w:val="none" w:sz="0" w:space="0" w:color="auto"/>
                    <w:left w:val="none" w:sz="0" w:space="0" w:color="auto"/>
                    <w:bottom w:val="none" w:sz="0" w:space="0" w:color="auto"/>
                    <w:right w:val="none" w:sz="0" w:space="0" w:color="auto"/>
                  </w:divBdr>
                </w:div>
              </w:divsChild>
            </w:div>
            <w:div w:id="1318077122">
              <w:marLeft w:val="0"/>
              <w:marRight w:val="0"/>
              <w:marTop w:val="0"/>
              <w:marBottom w:val="0"/>
              <w:divBdr>
                <w:top w:val="none" w:sz="0" w:space="0" w:color="auto"/>
                <w:left w:val="none" w:sz="0" w:space="0" w:color="auto"/>
                <w:bottom w:val="none" w:sz="0" w:space="0" w:color="auto"/>
                <w:right w:val="none" w:sz="0" w:space="0" w:color="auto"/>
              </w:divBdr>
              <w:divsChild>
                <w:div w:id="1306281343">
                  <w:marLeft w:val="0"/>
                  <w:marRight w:val="0"/>
                  <w:marTop w:val="60"/>
                  <w:marBottom w:val="60"/>
                  <w:divBdr>
                    <w:top w:val="none" w:sz="0" w:space="0" w:color="auto"/>
                    <w:left w:val="none" w:sz="0" w:space="0" w:color="auto"/>
                    <w:bottom w:val="none" w:sz="0" w:space="0" w:color="auto"/>
                    <w:right w:val="none" w:sz="0" w:space="0" w:color="auto"/>
                  </w:divBdr>
                </w:div>
              </w:divsChild>
            </w:div>
            <w:div w:id="98642957">
              <w:marLeft w:val="0"/>
              <w:marRight w:val="0"/>
              <w:marTop w:val="0"/>
              <w:marBottom w:val="0"/>
              <w:divBdr>
                <w:top w:val="none" w:sz="0" w:space="0" w:color="auto"/>
                <w:left w:val="none" w:sz="0" w:space="0" w:color="auto"/>
                <w:bottom w:val="none" w:sz="0" w:space="0" w:color="auto"/>
                <w:right w:val="none" w:sz="0" w:space="0" w:color="auto"/>
              </w:divBdr>
              <w:divsChild>
                <w:div w:id="380174519">
                  <w:marLeft w:val="0"/>
                  <w:marRight w:val="0"/>
                  <w:marTop w:val="60"/>
                  <w:marBottom w:val="60"/>
                  <w:divBdr>
                    <w:top w:val="none" w:sz="0" w:space="0" w:color="auto"/>
                    <w:left w:val="none" w:sz="0" w:space="0" w:color="auto"/>
                    <w:bottom w:val="none" w:sz="0" w:space="0" w:color="auto"/>
                    <w:right w:val="none" w:sz="0" w:space="0" w:color="auto"/>
                  </w:divBdr>
                </w:div>
                <w:div w:id="391735393">
                  <w:marLeft w:val="0"/>
                  <w:marRight w:val="0"/>
                  <w:marTop w:val="0"/>
                  <w:marBottom w:val="0"/>
                  <w:divBdr>
                    <w:top w:val="none" w:sz="0" w:space="0" w:color="auto"/>
                    <w:left w:val="none" w:sz="0" w:space="0" w:color="auto"/>
                    <w:bottom w:val="none" w:sz="0" w:space="0" w:color="auto"/>
                    <w:right w:val="none" w:sz="0" w:space="0" w:color="auto"/>
                  </w:divBdr>
                  <w:divsChild>
                    <w:div w:id="1822498362">
                      <w:marLeft w:val="0"/>
                      <w:marRight w:val="0"/>
                      <w:marTop w:val="60"/>
                      <w:marBottom w:val="60"/>
                      <w:divBdr>
                        <w:top w:val="none" w:sz="0" w:space="0" w:color="auto"/>
                        <w:left w:val="none" w:sz="0" w:space="0" w:color="auto"/>
                        <w:bottom w:val="none" w:sz="0" w:space="0" w:color="auto"/>
                        <w:right w:val="none" w:sz="0" w:space="0" w:color="auto"/>
                      </w:divBdr>
                    </w:div>
                  </w:divsChild>
                </w:div>
                <w:div w:id="1560364122">
                  <w:marLeft w:val="0"/>
                  <w:marRight w:val="0"/>
                  <w:marTop w:val="0"/>
                  <w:marBottom w:val="0"/>
                  <w:divBdr>
                    <w:top w:val="none" w:sz="0" w:space="0" w:color="auto"/>
                    <w:left w:val="none" w:sz="0" w:space="0" w:color="auto"/>
                    <w:bottom w:val="none" w:sz="0" w:space="0" w:color="auto"/>
                    <w:right w:val="none" w:sz="0" w:space="0" w:color="auto"/>
                  </w:divBdr>
                  <w:divsChild>
                    <w:div w:id="2026012122">
                      <w:marLeft w:val="0"/>
                      <w:marRight w:val="0"/>
                      <w:marTop w:val="60"/>
                      <w:marBottom w:val="60"/>
                      <w:divBdr>
                        <w:top w:val="none" w:sz="0" w:space="0" w:color="auto"/>
                        <w:left w:val="none" w:sz="0" w:space="0" w:color="auto"/>
                        <w:bottom w:val="none" w:sz="0" w:space="0" w:color="auto"/>
                        <w:right w:val="none" w:sz="0" w:space="0" w:color="auto"/>
                      </w:divBdr>
                    </w:div>
                  </w:divsChild>
                </w:div>
                <w:div w:id="2006593446">
                  <w:marLeft w:val="0"/>
                  <w:marRight w:val="0"/>
                  <w:marTop w:val="0"/>
                  <w:marBottom w:val="0"/>
                  <w:divBdr>
                    <w:top w:val="none" w:sz="0" w:space="0" w:color="auto"/>
                    <w:left w:val="none" w:sz="0" w:space="0" w:color="auto"/>
                    <w:bottom w:val="none" w:sz="0" w:space="0" w:color="auto"/>
                    <w:right w:val="none" w:sz="0" w:space="0" w:color="auto"/>
                  </w:divBdr>
                  <w:divsChild>
                    <w:div w:id="1208644916">
                      <w:marLeft w:val="0"/>
                      <w:marRight w:val="0"/>
                      <w:marTop w:val="60"/>
                      <w:marBottom w:val="60"/>
                      <w:divBdr>
                        <w:top w:val="none" w:sz="0" w:space="0" w:color="auto"/>
                        <w:left w:val="none" w:sz="0" w:space="0" w:color="auto"/>
                        <w:bottom w:val="none" w:sz="0" w:space="0" w:color="auto"/>
                        <w:right w:val="none" w:sz="0" w:space="0" w:color="auto"/>
                      </w:divBdr>
                    </w:div>
                  </w:divsChild>
                </w:div>
                <w:div w:id="1471626483">
                  <w:marLeft w:val="0"/>
                  <w:marRight w:val="0"/>
                  <w:marTop w:val="0"/>
                  <w:marBottom w:val="0"/>
                  <w:divBdr>
                    <w:top w:val="none" w:sz="0" w:space="0" w:color="auto"/>
                    <w:left w:val="none" w:sz="0" w:space="0" w:color="auto"/>
                    <w:bottom w:val="none" w:sz="0" w:space="0" w:color="auto"/>
                    <w:right w:val="none" w:sz="0" w:space="0" w:color="auto"/>
                  </w:divBdr>
                  <w:divsChild>
                    <w:div w:id="230622074">
                      <w:marLeft w:val="0"/>
                      <w:marRight w:val="0"/>
                      <w:marTop w:val="60"/>
                      <w:marBottom w:val="60"/>
                      <w:divBdr>
                        <w:top w:val="none" w:sz="0" w:space="0" w:color="auto"/>
                        <w:left w:val="none" w:sz="0" w:space="0" w:color="auto"/>
                        <w:bottom w:val="none" w:sz="0" w:space="0" w:color="auto"/>
                        <w:right w:val="none" w:sz="0" w:space="0" w:color="auto"/>
                      </w:divBdr>
                    </w:div>
                  </w:divsChild>
                </w:div>
                <w:div w:id="1192110357">
                  <w:marLeft w:val="0"/>
                  <w:marRight w:val="0"/>
                  <w:marTop w:val="0"/>
                  <w:marBottom w:val="0"/>
                  <w:divBdr>
                    <w:top w:val="none" w:sz="0" w:space="0" w:color="auto"/>
                    <w:left w:val="none" w:sz="0" w:space="0" w:color="auto"/>
                    <w:bottom w:val="none" w:sz="0" w:space="0" w:color="auto"/>
                    <w:right w:val="none" w:sz="0" w:space="0" w:color="auto"/>
                  </w:divBdr>
                  <w:divsChild>
                    <w:div w:id="1345859893">
                      <w:marLeft w:val="0"/>
                      <w:marRight w:val="0"/>
                      <w:marTop w:val="60"/>
                      <w:marBottom w:val="60"/>
                      <w:divBdr>
                        <w:top w:val="none" w:sz="0" w:space="0" w:color="auto"/>
                        <w:left w:val="none" w:sz="0" w:space="0" w:color="auto"/>
                        <w:bottom w:val="none" w:sz="0" w:space="0" w:color="auto"/>
                        <w:right w:val="none" w:sz="0" w:space="0" w:color="auto"/>
                      </w:divBdr>
                    </w:div>
                  </w:divsChild>
                </w:div>
                <w:div w:id="1396511610">
                  <w:marLeft w:val="0"/>
                  <w:marRight w:val="0"/>
                  <w:marTop w:val="0"/>
                  <w:marBottom w:val="0"/>
                  <w:divBdr>
                    <w:top w:val="none" w:sz="0" w:space="0" w:color="auto"/>
                    <w:left w:val="none" w:sz="0" w:space="0" w:color="auto"/>
                    <w:bottom w:val="none" w:sz="0" w:space="0" w:color="auto"/>
                    <w:right w:val="none" w:sz="0" w:space="0" w:color="auto"/>
                  </w:divBdr>
                  <w:divsChild>
                    <w:div w:id="359203098">
                      <w:marLeft w:val="0"/>
                      <w:marRight w:val="0"/>
                      <w:marTop w:val="60"/>
                      <w:marBottom w:val="60"/>
                      <w:divBdr>
                        <w:top w:val="none" w:sz="0" w:space="0" w:color="auto"/>
                        <w:left w:val="none" w:sz="0" w:space="0" w:color="auto"/>
                        <w:bottom w:val="none" w:sz="0" w:space="0" w:color="auto"/>
                        <w:right w:val="none" w:sz="0" w:space="0" w:color="auto"/>
                      </w:divBdr>
                    </w:div>
                  </w:divsChild>
                </w:div>
                <w:div w:id="1040590691">
                  <w:marLeft w:val="0"/>
                  <w:marRight w:val="0"/>
                  <w:marTop w:val="0"/>
                  <w:marBottom w:val="0"/>
                  <w:divBdr>
                    <w:top w:val="none" w:sz="0" w:space="0" w:color="auto"/>
                    <w:left w:val="none" w:sz="0" w:space="0" w:color="auto"/>
                    <w:bottom w:val="none" w:sz="0" w:space="0" w:color="auto"/>
                    <w:right w:val="none" w:sz="0" w:space="0" w:color="auto"/>
                  </w:divBdr>
                  <w:divsChild>
                    <w:div w:id="95174223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679508896">
              <w:marLeft w:val="0"/>
              <w:marRight w:val="0"/>
              <w:marTop w:val="0"/>
              <w:marBottom w:val="0"/>
              <w:divBdr>
                <w:top w:val="none" w:sz="0" w:space="0" w:color="auto"/>
                <w:left w:val="none" w:sz="0" w:space="0" w:color="auto"/>
                <w:bottom w:val="none" w:sz="0" w:space="0" w:color="auto"/>
                <w:right w:val="none" w:sz="0" w:space="0" w:color="auto"/>
              </w:divBdr>
              <w:divsChild>
                <w:div w:id="216478062">
                  <w:marLeft w:val="0"/>
                  <w:marRight w:val="0"/>
                  <w:marTop w:val="60"/>
                  <w:marBottom w:val="60"/>
                  <w:divBdr>
                    <w:top w:val="none" w:sz="0" w:space="0" w:color="auto"/>
                    <w:left w:val="none" w:sz="0" w:space="0" w:color="auto"/>
                    <w:bottom w:val="none" w:sz="0" w:space="0" w:color="auto"/>
                    <w:right w:val="none" w:sz="0" w:space="0" w:color="auto"/>
                  </w:divBdr>
                </w:div>
                <w:div w:id="872234297">
                  <w:marLeft w:val="0"/>
                  <w:marRight w:val="0"/>
                  <w:marTop w:val="0"/>
                  <w:marBottom w:val="0"/>
                  <w:divBdr>
                    <w:top w:val="none" w:sz="0" w:space="0" w:color="auto"/>
                    <w:left w:val="none" w:sz="0" w:space="0" w:color="auto"/>
                    <w:bottom w:val="none" w:sz="0" w:space="0" w:color="auto"/>
                    <w:right w:val="none" w:sz="0" w:space="0" w:color="auto"/>
                  </w:divBdr>
                  <w:divsChild>
                    <w:div w:id="1797020142">
                      <w:marLeft w:val="0"/>
                      <w:marRight w:val="0"/>
                      <w:marTop w:val="60"/>
                      <w:marBottom w:val="60"/>
                      <w:divBdr>
                        <w:top w:val="none" w:sz="0" w:space="0" w:color="auto"/>
                        <w:left w:val="none" w:sz="0" w:space="0" w:color="auto"/>
                        <w:bottom w:val="none" w:sz="0" w:space="0" w:color="auto"/>
                        <w:right w:val="none" w:sz="0" w:space="0" w:color="auto"/>
                      </w:divBdr>
                    </w:div>
                  </w:divsChild>
                </w:div>
                <w:div w:id="1210072408">
                  <w:marLeft w:val="0"/>
                  <w:marRight w:val="0"/>
                  <w:marTop w:val="0"/>
                  <w:marBottom w:val="0"/>
                  <w:divBdr>
                    <w:top w:val="none" w:sz="0" w:space="0" w:color="auto"/>
                    <w:left w:val="none" w:sz="0" w:space="0" w:color="auto"/>
                    <w:bottom w:val="none" w:sz="0" w:space="0" w:color="auto"/>
                    <w:right w:val="none" w:sz="0" w:space="0" w:color="auto"/>
                  </w:divBdr>
                  <w:divsChild>
                    <w:div w:id="1561593712">
                      <w:marLeft w:val="0"/>
                      <w:marRight w:val="0"/>
                      <w:marTop w:val="60"/>
                      <w:marBottom w:val="60"/>
                      <w:divBdr>
                        <w:top w:val="none" w:sz="0" w:space="0" w:color="auto"/>
                        <w:left w:val="none" w:sz="0" w:space="0" w:color="auto"/>
                        <w:bottom w:val="none" w:sz="0" w:space="0" w:color="auto"/>
                        <w:right w:val="none" w:sz="0" w:space="0" w:color="auto"/>
                      </w:divBdr>
                    </w:div>
                  </w:divsChild>
                </w:div>
                <w:div w:id="203560492">
                  <w:marLeft w:val="0"/>
                  <w:marRight w:val="0"/>
                  <w:marTop w:val="0"/>
                  <w:marBottom w:val="0"/>
                  <w:divBdr>
                    <w:top w:val="none" w:sz="0" w:space="0" w:color="auto"/>
                    <w:left w:val="none" w:sz="0" w:space="0" w:color="auto"/>
                    <w:bottom w:val="none" w:sz="0" w:space="0" w:color="auto"/>
                    <w:right w:val="none" w:sz="0" w:space="0" w:color="auto"/>
                  </w:divBdr>
                  <w:divsChild>
                    <w:div w:id="208833699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78471533">
              <w:marLeft w:val="0"/>
              <w:marRight w:val="0"/>
              <w:marTop w:val="0"/>
              <w:marBottom w:val="0"/>
              <w:divBdr>
                <w:top w:val="none" w:sz="0" w:space="0" w:color="auto"/>
                <w:left w:val="none" w:sz="0" w:space="0" w:color="auto"/>
                <w:bottom w:val="none" w:sz="0" w:space="0" w:color="auto"/>
                <w:right w:val="none" w:sz="0" w:space="0" w:color="auto"/>
              </w:divBdr>
              <w:divsChild>
                <w:div w:id="1719474470">
                  <w:marLeft w:val="0"/>
                  <w:marRight w:val="0"/>
                  <w:marTop w:val="60"/>
                  <w:marBottom w:val="60"/>
                  <w:divBdr>
                    <w:top w:val="none" w:sz="0" w:space="0" w:color="auto"/>
                    <w:left w:val="none" w:sz="0" w:space="0" w:color="auto"/>
                    <w:bottom w:val="none" w:sz="0" w:space="0" w:color="auto"/>
                    <w:right w:val="none" w:sz="0" w:space="0" w:color="auto"/>
                  </w:divBdr>
                </w:div>
                <w:div w:id="584651417">
                  <w:marLeft w:val="0"/>
                  <w:marRight w:val="0"/>
                  <w:marTop w:val="0"/>
                  <w:marBottom w:val="0"/>
                  <w:divBdr>
                    <w:top w:val="none" w:sz="0" w:space="0" w:color="auto"/>
                    <w:left w:val="none" w:sz="0" w:space="0" w:color="auto"/>
                    <w:bottom w:val="none" w:sz="0" w:space="0" w:color="auto"/>
                    <w:right w:val="none" w:sz="0" w:space="0" w:color="auto"/>
                  </w:divBdr>
                  <w:divsChild>
                    <w:div w:id="1464811780">
                      <w:marLeft w:val="0"/>
                      <w:marRight w:val="0"/>
                      <w:marTop w:val="60"/>
                      <w:marBottom w:val="60"/>
                      <w:divBdr>
                        <w:top w:val="none" w:sz="0" w:space="0" w:color="auto"/>
                        <w:left w:val="none" w:sz="0" w:space="0" w:color="auto"/>
                        <w:bottom w:val="none" w:sz="0" w:space="0" w:color="auto"/>
                        <w:right w:val="none" w:sz="0" w:space="0" w:color="auto"/>
                      </w:divBdr>
                    </w:div>
                  </w:divsChild>
                </w:div>
                <w:div w:id="1243761811">
                  <w:marLeft w:val="0"/>
                  <w:marRight w:val="0"/>
                  <w:marTop w:val="0"/>
                  <w:marBottom w:val="0"/>
                  <w:divBdr>
                    <w:top w:val="none" w:sz="0" w:space="0" w:color="auto"/>
                    <w:left w:val="none" w:sz="0" w:space="0" w:color="auto"/>
                    <w:bottom w:val="none" w:sz="0" w:space="0" w:color="auto"/>
                    <w:right w:val="none" w:sz="0" w:space="0" w:color="auto"/>
                  </w:divBdr>
                  <w:divsChild>
                    <w:div w:id="6437524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389694504">
              <w:marLeft w:val="0"/>
              <w:marRight w:val="0"/>
              <w:marTop w:val="0"/>
              <w:marBottom w:val="0"/>
              <w:divBdr>
                <w:top w:val="none" w:sz="0" w:space="0" w:color="auto"/>
                <w:left w:val="none" w:sz="0" w:space="0" w:color="auto"/>
                <w:bottom w:val="none" w:sz="0" w:space="0" w:color="auto"/>
                <w:right w:val="none" w:sz="0" w:space="0" w:color="auto"/>
              </w:divBdr>
              <w:divsChild>
                <w:div w:id="670256831">
                  <w:marLeft w:val="0"/>
                  <w:marRight w:val="0"/>
                  <w:marTop w:val="60"/>
                  <w:marBottom w:val="60"/>
                  <w:divBdr>
                    <w:top w:val="none" w:sz="0" w:space="0" w:color="auto"/>
                    <w:left w:val="none" w:sz="0" w:space="0" w:color="auto"/>
                    <w:bottom w:val="none" w:sz="0" w:space="0" w:color="auto"/>
                    <w:right w:val="none" w:sz="0" w:space="0" w:color="auto"/>
                  </w:divBdr>
                </w:div>
              </w:divsChild>
            </w:div>
            <w:div w:id="2097944473">
              <w:marLeft w:val="0"/>
              <w:marRight w:val="0"/>
              <w:marTop w:val="0"/>
              <w:marBottom w:val="0"/>
              <w:divBdr>
                <w:top w:val="none" w:sz="0" w:space="0" w:color="auto"/>
                <w:left w:val="none" w:sz="0" w:space="0" w:color="auto"/>
                <w:bottom w:val="none" w:sz="0" w:space="0" w:color="auto"/>
                <w:right w:val="none" w:sz="0" w:space="0" w:color="auto"/>
              </w:divBdr>
              <w:divsChild>
                <w:div w:id="235941030">
                  <w:marLeft w:val="0"/>
                  <w:marRight w:val="0"/>
                  <w:marTop w:val="60"/>
                  <w:marBottom w:val="60"/>
                  <w:divBdr>
                    <w:top w:val="none" w:sz="0" w:space="0" w:color="auto"/>
                    <w:left w:val="none" w:sz="0" w:space="0" w:color="auto"/>
                    <w:bottom w:val="none" w:sz="0" w:space="0" w:color="auto"/>
                    <w:right w:val="none" w:sz="0" w:space="0" w:color="auto"/>
                  </w:divBdr>
                </w:div>
              </w:divsChild>
            </w:div>
            <w:div w:id="1645618392">
              <w:marLeft w:val="0"/>
              <w:marRight w:val="0"/>
              <w:marTop w:val="0"/>
              <w:marBottom w:val="0"/>
              <w:divBdr>
                <w:top w:val="none" w:sz="0" w:space="0" w:color="auto"/>
                <w:left w:val="none" w:sz="0" w:space="0" w:color="auto"/>
                <w:bottom w:val="none" w:sz="0" w:space="0" w:color="auto"/>
                <w:right w:val="none" w:sz="0" w:space="0" w:color="auto"/>
              </w:divBdr>
              <w:divsChild>
                <w:div w:id="1758357243">
                  <w:marLeft w:val="0"/>
                  <w:marRight w:val="0"/>
                  <w:marTop w:val="60"/>
                  <w:marBottom w:val="60"/>
                  <w:divBdr>
                    <w:top w:val="none" w:sz="0" w:space="0" w:color="auto"/>
                    <w:left w:val="none" w:sz="0" w:space="0" w:color="auto"/>
                    <w:bottom w:val="none" w:sz="0" w:space="0" w:color="auto"/>
                    <w:right w:val="none" w:sz="0" w:space="0" w:color="auto"/>
                  </w:divBdr>
                </w:div>
              </w:divsChild>
            </w:div>
            <w:div w:id="1230379469">
              <w:marLeft w:val="0"/>
              <w:marRight w:val="0"/>
              <w:marTop w:val="0"/>
              <w:marBottom w:val="0"/>
              <w:divBdr>
                <w:top w:val="none" w:sz="0" w:space="0" w:color="auto"/>
                <w:left w:val="none" w:sz="0" w:space="0" w:color="auto"/>
                <w:bottom w:val="none" w:sz="0" w:space="0" w:color="auto"/>
                <w:right w:val="none" w:sz="0" w:space="0" w:color="auto"/>
              </w:divBdr>
              <w:divsChild>
                <w:div w:id="1991710240">
                  <w:marLeft w:val="0"/>
                  <w:marRight w:val="0"/>
                  <w:marTop w:val="60"/>
                  <w:marBottom w:val="60"/>
                  <w:divBdr>
                    <w:top w:val="none" w:sz="0" w:space="0" w:color="auto"/>
                    <w:left w:val="none" w:sz="0" w:space="0" w:color="auto"/>
                    <w:bottom w:val="none" w:sz="0" w:space="0" w:color="auto"/>
                    <w:right w:val="none" w:sz="0" w:space="0" w:color="auto"/>
                  </w:divBdr>
                </w:div>
              </w:divsChild>
            </w:div>
            <w:div w:id="198930745">
              <w:marLeft w:val="0"/>
              <w:marRight w:val="0"/>
              <w:marTop w:val="0"/>
              <w:marBottom w:val="0"/>
              <w:divBdr>
                <w:top w:val="none" w:sz="0" w:space="0" w:color="auto"/>
                <w:left w:val="none" w:sz="0" w:space="0" w:color="auto"/>
                <w:bottom w:val="none" w:sz="0" w:space="0" w:color="auto"/>
                <w:right w:val="none" w:sz="0" w:space="0" w:color="auto"/>
              </w:divBdr>
              <w:divsChild>
                <w:div w:id="165151964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774864484">
      <w:bodyDiv w:val="1"/>
      <w:marLeft w:val="0"/>
      <w:marRight w:val="0"/>
      <w:marTop w:val="0"/>
      <w:marBottom w:val="0"/>
      <w:divBdr>
        <w:top w:val="none" w:sz="0" w:space="0" w:color="auto"/>
        <w:left w:val="none" w:sz="0" w:space="0" w:color="auto"/>
        <w:bottom w:val="none" w:sz="0" w:space="0" w:color="auto"/>
        <w:right w:val="none" w:sz="0" w:space="0" w:color="auto"/>
      </w:divBdr>
    </w:div>
    <w:div w:id="1807697459">
      <w:bodyDiv w:val="1"/>
      <w:marLeft w:val="0"/>
      <w:marRight w:val="0"/>
      <w:marTop w:val="0"/>
      <w:marBottom w:val="0"/>
      <w:divBdr>
        <w:top w:val="none" w:sz="0" w:space="0" w:color="auto"/>
        <w:left w:val="none" w:sz="0" w:space="0" w:color="auto"/>
        <w:bottom w:val="none" w:sz="0" w:space="0" w:color="auto"/>
        <w:right w:val="none" w:sz="0" w:space="0" w:color="auto"/>
      </w:divBdr>
    </w:div>
    <w:div w:id="1818567274">
      <w:bodyDiv w:val="1"/>
      <w:marLeft w:val="0"/>
      <w:marRight w:val="0"/>
      <w:marTop w:val="0"/>
      <w:marBottom w:val="0"/>
      <w:divBdr>
        <w:top w:val="none" w:sz="0" w:space="0" w:color="auto"/>
        <w:left w:val="none" w:sz="0" w:space="0" w:color="auto"/>
        <w:bottom w:val="none" w:sz="0" w:space="0" w:color="auto"/>
        <w:right w:val="none" w:sz="0" w:space="0" w:color="auto"/>
      </w:divBdr>
    </w:div>
    <w:div w:id="1898393345">
      <w:bodyDiv w:val="1"/>
      <w:marLeft w:val="0"/>
      <w:marRight w:val="0"/>
      <w:marTop w:val="0"/>
      <w:marBottom w:val="0"/>
      <w:divBdr>
        <w:top w:val="none" w:sz="0" w:space="0" w:color="auto"/>
        <w:left w:val="none" w:sz="0" w:space="0" w:color="auto"/>
        <w:bottom w:val="none" w:sz="0" w:space="0" w:color="auto"/>
        <w:right w:val="none" w:sz="0" w:space="0" w:color="auto"/>
      </w:divBdr>
    </w:div>
    <w:div w:id="1905068633">
      <w:bodyDiv w:val="1"/>
      <w:marLeft w:val="0"/>
      <w:marRight w:val="0"/>
      <w:marTop w:val="0"/>
      <w:marBottom w:val="0"/>
      <w:divBdr>
        <w:top w:val="none" w:sz="0" w:space="0" w:color="auto"/>
        <w:left w:val="none" w:sz="0" w:space="0" w:color="auto"/>
        <w:bottom w:val="none" w:sz="0" w:space="0" w:color="auto"/>
        <w:right w:val="none" w:sz="0" w:space="0" w:color="auto"/>
      </w:divBdr>
    </w:div>
    <w:div w:id="1905606006">
      <w:bodyDiv w:val="1"/>
      <w:marLeft w:val="0"/>
      <w:marRight w:val="0"/>
      <w:marTop w:val="0"/>
      <w:marBottom w:val="0"/>
      <w:divBdr>
        <w:top w:val="none" w:sz="0" w:space="0" w:color="auto"/>
        <w:left w:val="none" w:sz="0" w:space="0" w:color="auto"/>
        <w:bottom w:val="none" w:sz="0" w:space="0" w:color="auto"/>
        <w:right w:val="none" w:sz="0" w:space="0" w:color="auto"/>
      </w:divBdr>
    </w:div>
    <w:div w:id="1941373957">
      <w:bodyDiv w:val="1"/>
      <w:marLeft w:val="0"/>
      <w:marRight w:val="0"/>
      <w:marTop w:val="0"/>
      <w:marBottom w:val="0"/>
      <w:divBdr>
        <w:top w:val="none" w:sz="0" w:space="0" w:color="auto"/>
        <w:left w:val="none" w:sz="0" w:space="0" w:color="auto"/>
        <w:bottom w:val="none" w:sz="0" w:space="0" w:color="auto"/>
        <w:right w:val="none" w:sz="0" w:space="0" w:color="auto"/>
      </w:divBdr>
    </w:div>
    <w:div w:id="1966228881">
      <w:bodyDiv w:val="1"/>
      <w:marLeft w:val="0"/>
      <w:marRight w:val="0"/>
      <w:marTop w:val="0"/>
      <w:marBottom w:val="0"/>
      <w:divBdr>
        <w:top w:val="none" w:sz="0" w:space="0" w:color="auto"/>
        <w:left w:val="none" w:sz="0" w:space="0" w:color="auto"/>
        <w:bottom w:val="none" w:sz="0" w:space="0" w:color="auto"/>
        <w:right w:val="none" w:sz="0" w:space="0" w:color="auto"/>
      </w:divBdr>
    </w:div>
    <w:div w:id="1967739654">
      <w:bodyDiv w:val="1"/>
      <w:marLeft w:val="0"/>
      <w:marRight w:val="0"/>
      <w:marTop w:val="0"/>
      <w:marBottom w:val="0"/>
      <w:divBdr>
        <w:top w:val="none" w:sz="0" w:space="0" w:color="auto"/>
        <w:left w:val="none" w:sz="0" w:space="0" w:color="auto"/>
        <w:bottom w:val="none" w:sz="0" w:space="0" w:color="auto"/>
        <w:right w:val="none" w:sz="0" w:space="0" w:color="auto"/>
      </w:divBdr>
    </w:div>
    <w:div w:id="2009403358">
      <w:bodyDiv w:val="1"/>
      <w:marLeft w:val="0"/>
      <w:marRight w:val="0"/>
      <w:marTop w:val="0"/>
      <w:marBottom w:val="0"/>
      <w:divBdr>
        <w:top w:val="none" w:sz="0" w:space="0" w:color="auto"/>
        <w:left w:val="none" w:sz="0" w:space="0" w:color="auto"/>
        <w:bottom w:val="none" w:sz="0" w:space="0" w:color="auto"/>
        <w:right w:val="none" w:sz="0" w:space="0" w:color="auto"/>
      </w:divBdr>
    </w:div>
    <w:div w:id="2016836060">
      <w:bodyDiv w:val="1"/>
      <w:marLeft w:val="0"/>
      <w:marRight w:val="0"/>
      <w:marTop w:val="0"/>
      <w:marBottom w:val="0"/>
      <w:divBdr>
        <w:top w:val="none" w:sz="0" w:space="0" w:color="auto"/>
        <w:left w:val="none" w:sz="0" w:space="0" w:color="auto"/>
        <w:bottom w:val="none" w:sz="0" w:space="0" w:color="auto"/>
        <w:right w:val="none" w:sz="0" w:space="0" w:color="auto"/>
      </w:divBdr>
    </w:div>
    <w:div w:id="2047831309">
      <w:bodyDiv w:val="1"/>
      <w:marLeft w:val="0"/>
      <w:marRight w:val="0"/>
      <w:marTop w:val="0"/>
      <w:marBottom w:val="0"/>
      <w:divBdr>
        <w:top w:val="none" w:sz="0" w:space="0" w:color="auto"/>
        <w:left w:val="none" w:sz="0" w:space="0" w:color="auto"/>
        <w:bottom w:val="none" w:sz="0" w:space="0" w:color="auto"/>
        <w:right w:val="none" w:sz="0" w:space="0" w:color="auto"/>
      </w:divBdr>
    </w:div>
    <w:div w:id="2049210783">
      <w:bodyDiv w:val="1"/>
      <w:marLeft w:val="0"/>
      <w:marRight w:val="0"/>
      <w:marTop w:val="0"/>
      <w:marBottom w:val="0"/>
      <w:divBdr>
        <w:top w:val="none" w:sz="0" w:space="0" w:color="auto"/>
        <w:left w:val="none" w:sz="0" w:space="0" w:color="auto"/>
        <w:bottom w:val="none" w:sz="0" w:space="0" w:color="auto"/>
        <w:right w:val="none" w:sz="0" w:space="0" w:color="auto"/>
      </w:divBdr>
    </w:div>
    <w:div w:id="2072922978">
      <w:bodyDiv w:val="1"/>
      <w:marLeft w:val="0"/>
      <w:marRight w:val="0"/>
      <w:marTop w:val="0"/>
      <w:marBottom w:val="0"/>
      <w:divBdr>
        <w:top w:val="none" w:sz="0" w:space="0" w:color="auto"/>
        <w:left w:val="none" w:sz="0" w:space="0" w:color="auto"/>
        <w:bottom w:val="none" w:sz="0" w:space="0" w:color="auto"/>
        <w:right w:val="none" w:sz="0" w:space="0" w:color="auto"/>
      </w:divBdr>
    </w:div>
    <w:div w:id="2088725467">
      <w:bodyDiv w:val="1"/>
      <w:marLeft w:val="0"/>
      <w:marRight w:val="0"/>
      <w:marTop w:val="0"/>
      <w:marBottom w:val="0"/>
      <w:divBdr>
        <w:top w:val="none" w:sz="0" w:space="0" w:color="auto"/>
        <w:left w:val="none" w:sz="0" w:space="0" w:color="auto"/>
        <w:bottom w:val="none" w:sz="0" w:space="0" w:color="auto"/>
        <w:right w:val="none" w:sz="0" w:space="0" w:color="auto"/>
      </w:divBdr>
    </w:div>
    <w:div w:id="2098138904">
      <w:bodyDiv w:val="1"/>
      <w:marLeft w:val="0"/>
      <w:marRight w:val="0"/>
      <w:marTop w:val="0"/>
      <w:marBottom w:val="0"/>
      <w:divBdr>
        <w:top w:val="none" w:sz="0" w:space="0" w:color="auto"/>
        <w:left w:val="none" w:sz="0" w:space="0" w:color="auto"/>
        <w:bottom w:val="none" w:sz="0" w:space="0" w:color="auto"/>
        <w:right w:val="none" w:sz="0" w:space="0" w:color="auto"/>
      </w:divBdr>
    </w:div>
    <w:div w:id="2110269713">
      <w:bodyDiv w:val="1"/>
      <w:marLeft w:val="0"/>
      <w:marRight w:val="0"/>
      <w:marTop w:val="0"/>
      <w:marBottom w:val="0"/>
      <w:divBdr>
        <w:top w:val="none" w:sz="0" w:space="0" w:color="auto"/>
        <w:left w:val="none" w:sz="0" w:space="0" w:color="auto"/>
        <w:bottom w:val="none" w:sz="0" w:space="0" w:color="auto"/>
        <w:right w:val="none" w:sz="0" w:space="0" w:color="auto"/>
      </w:divBdr>
    </w:div>
    <w:div w:id="214581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ingle-market-economy.ec.europa.eu/sectors/raw-materials/areas-specific-interest/critical-raw-materials_en" TargetMode="External"/><Relationship Id="rId2" Type="http://schemas.openxmlformats.org/officeDocument/2006/relationships/hyperlink" Target="https://data.consilium.europa.eu/doc/document/PE-2-2023-INIT/en/pdf" TargetMode="External"/><Relationship Id="rId1" Type="http://schemas.openxmlformats.org/officeDocument/2006/relationships/hyperlink" Target="https://policy.trade.ec.europa.eu/development-and-sustainability/conflict-minerals-regulation/regulation-explained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B791F24ED7434781BD13B6B2FC869F" ma:contentTypeVersion="2" ma:contentTypeDescription="Een nieuw document maken." ma:contentTypeScope="" ma:versionID="90f0c3c76bbb7a3ca8ae6157f5060b8e">
  <xsd:schema xmlns:xsd="http://www.w3.org/2001/XMLSchema" xmlns:xs="http://www.w3.org/2001/XMLSchema" xmlns:p="http://schemas.microsoft.com/office/2006/metadata/properties" xmlns:ns2="979d8255-cf6a-4aba-a343-5ee1b8a4bd25" targetNamespace="http://schemas.microsoft.com/office/2006/metadata/properties" ma:root="true" ma:fieldsID="58179612ad7e3d25dfa86cc1c6a28756" ns2:_="">
    <xsd:import namespace="979d8255-cf6a-4aba-a343-5ee1b8a4bd2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d8255-cf6a-4aba-a343-5ee1b8a4bd2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79d8255-cf6a-4aba-a343-5ee1b8a4bd25">
      <UserInfo>
        <DisplayName>Dekker, M. (Marianne) (Rijksmedewerker)</DisplayName>
        <AccountId>18</AccountId>
        <AccountType/>
      </UserInfo>
    </SharedWithUsers>
  </documentManagement>
</p:properties>
</file>

<file path=customXml/itemProps1.xml><?xml version="1.0" encoding="utf-8"?>
<ds:datastoreItem xmlns:ds="http://schemas.openxmlformats.org/officeDocument/2006/customXml" ds:itemID="{7F91FA39-A24F-4884-9982-46A4155C8A6E}">
  <ds:schemaRefs>
    <ds:schemaRef ds:uri="http://schemas.openxmlformats.org/officeDocument/2006/bibliography"/>
  </ds:schemaRefs>
</ds:datastoreItem>
</file>

<file path=customXml/itemProps2.xml><?xml version="1.0" encoding="utf-8"?>
<ds:datastoreItem xmlns:ds="http://schemas.openxmlformats.org/officeDocument/2006/customXml" ds:itemID="{F3DC2C1B-4B75-486C-A4AB-5E3DC293A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d8255-cf6a-4aba-a343-5ee1b8a4b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C0E7E1-77BF-4E63-9E78-BD084838326C}">
  <ds:schemaRefs>
    <ds:schemaRef ds:uri="http://schemas.microsoft.com/sharepoint/v3/contenttype/forms"/>
  </ds:schemaRefs>
</ds:datastoreItem>
</file>

<file path=customXml/itemProps4.xml><?xml version="1.0" encoding="utf-8"?>
<ds:datastoreItem xmlns:ds="http://schemas.openxmlformats.org/officeDocument/2006/customXml" ds:itemID="{1A04FBED-B0F6-4D69-93B9-62E7894D96F3}">
  <ds:schemaRefs>
    <ds:schemaRef ds:uri="http://purl.org/dc/dcmitype/"/>
    <ds:schemaRef ds:uri="http://schemas.microsoft.com/office/infopath/2007/PartnerControls"/>
    <ds:schemaRef ds:uri="http://purl.org/dc/elements/1.1/"/>
    <ds:schemaRef ds:uri="http://schemas.microsoft.com/office/2006/metadata/properties"/>
    <ds:schemaRef ds:uri="979d8255-cf6a-4aba-a343-5ee1b8a4bd25"/>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23</Pages>
  <Words>10812</Words>
  <Characters>59470</Characters>
  <Application>Microsoft Office Word</Application>
  <DocSecurity>4</DocSecurity>
  <Lines>495</Lines>
  <Paragraphs>140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Subsidieprogramma Fair Focus</vt:lpstr>
      <vt:lpstr>Subsidieprogramma Fair Focus</vt:lpstr>
    </vt:vector>
  </TitlesOfParts>
  <Company>Ministerie van Economische Zaken en Klimaat</Company>
  <LinksUpToDate>false</LinksUpToDate>
  <CharactersWithSpaces>70142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Subsidieprogramma Fair Focus</dc:title>
  <dc:subject/>
  <dc:creator>Judith</dc:creator>
  <cp:keywords/>
  <dc:description>versie 16-12-2025</dc:description>
  <cp:lastModifiedBy>Kooij, M.A. (Marise)</cp:lastModifiedBy>
  <cp:revision>2</cp:revision>
  <cp:lastPrinted>2026-01-16T11:43:00Z</cp:lastPrinted>
  <dcterms:created xsi:type="dcterms:W3CDTF">2026-05-18T10:40:00Z</dcterms:created>
  <dcterms:modified xsi:type="dcterms:W3CDTF">2026-05-18T10:40:00Z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0x0101004FB791F24ED7434781BD13B6B2FC869F</vt:lpwstr>
  </property>
  <property fmtid="{D5CDD505-2E9C-101B-9397-08002B2CF9AE}" pid="3" name="gc2efd3bfea04f7f8169be07009f5536">
    <vt:lpwstr/>
  </property>
  <property fmtid="{D5CDD505-2E9C-101B-9397-08002B2CF9AE}" pid="4" name="BZForumOrganisation">
    <vt:lpwstr>2;#Not applicable|0049e722-bfb1-4a3f-9d08-af7366a9af40</vt:lpwstr>
  </property>
  <property fmtid="{D5CDD505-2E9C-101B-9397-08002B2CF9AE}" pid="5" name="BZDossierBudgetManager">
    <vt:lpwstr/>
  </property>
  <property fmtid="{D5CDD505-2E9C-101B-9397-08002B2CF9AE}" pid="6" name="BZDossierSendTo">
    <vt:lpwstr/>
  </property>
  <property fmtid="{D5CDD505-2E9C-101B-9397-08002B2CF9AE}" pid="7" name="BZTheme">
    <vt:lpwstr>1;#Not applicable|ec01d90b-9d0f-4785-8785-e1ea615196bf</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506d0b0b-6e76-431b-958c-2bff3b1ee31e</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ies>
</file>