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D1903" w14:textId="77777777" w:rsidR="00C872D6" w:rsidRPr="00C245E3" w:rsidRDefault="283477C2" w:rsidP="00C245E3">
      <w:pPr>
        <w:spacing w:line="240" w:lineRule="atLeast"/>
        <w:rPr>
          <w:rFonts w:ascii="Verdana" w:hAnsi="Verdana"/>
          <w:b/>
          <w:bCs/>
          <w:sz w:val="18"/>
          <w:szCs w:val="18"/>
        </w:rPr>
      </w:pPr>
      <w:bookmarkStart w:id="0" w:name="_Hlk201945886"/>
      <w:r w:rsidRPr="00C245E3">
        <w:rPr>
          <w:rFonts w:ascii="Verdana" w:hAnsi="Verdana"/>
          <w:b/>
          <w:bCs/>
          <w:sz w:val="18"/>
          <w:szCs w:val="18"/>
        </w:rPr>
        <w:t>Order of the Minister of Foreign Trade and Development Cooperation of 4 August 2026, no. BZ2630259, laying down administrative rules and a ceiling for grants awarded under the Ministry of Foreign Affairs Grant Regulations 2006 (Dutch Diamonds Partnerships Grant Programme)</w:t>
      </w:r>
    </w:p>
    <w:p w14:paraId="36457D0E" w14:textId="77777777" w:rsidR="00A41A84" w:rsidRPr="00C245E3" w:rsidRDefault="00A41A84" w:rsidP="00C245E3">
      <w:pPr>
        <w:spacing w:line="240" w:lineRule="atLeast"/>
        <w:rPr>
          <w:rFonts w:ascii="Verdana" w:hAnsi="Verdana"/>
          <w:sz w:val="18"/>
          <w:szCs w:val="18"/>
        </w:rPr>
      </w:pPr>
    </w:p>
    <w:p w14:paraId="22DB4A65" w14:textId="77777777" w:rsidR="00F11E19" w:rsidRPr="00C245E3" w:rsidRDefault="00F11E19"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The Minister of Foreign Trade and Development Cooperation,</w:t>
      </w:r>
    </w:p>
    <w:p w14:paraId="1163E88B" w14:textId="77777777" w:rsidR="00F11E19" w:rsidRPr="00C245E3" w:rsidRDefault="00F11E19"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Having regard to articles 6 and 7 of the Ministry of Foreign Affairs Grants Decree;</w:t>
      </w:r>
    </w:p>
    <w:p w14:paraId="7481D9D7" w14:textId="77777777" w:rsidR="00F11E19" w:rsidRPr="00C245E3" w:rsidRDefault="00F11E19"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Having regard to article 5.1 (a), (b), (g) and (h) of the Ministry of Foreign Affairs Grant Regulations 2006;</w:t>
      </w:r>
    </w:p>
    <w:p w14:paraId="348EF34F" w14:textId="77777777" w:rsidR="00A41A84" w:rsidRPr="00C245E3" w:rsidRDefault="00A41A84" w:rsidP="00C245E3">
      <w:pPr>
        <w:spacing w:line="240" w:lineRule="atLeast"/>
        <w:rPr>
          <w:rFonts w:ascii="Verdana" w:hAnsi="Verdana"/>
          <w:sz w:val="18"/>
          <w:szCs w:val="18"/>
        </w:rPr>
      </w:pPr>
    </w:p>
    <w:p w14:paraId="6B18EE3F"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Orders:</w:t>
      </w:r>
    </w:p>
    <w:p w14:paraId="3678CAD8" w14:textId="77777777" w:rsidR="00A41A84" w:rsidRPr="00C245E3" w:rsidRDefault="00A41A84" w:rsidP="00C245E3">
      <w:pPr>
        <w:tabs>
          <w:tab w:val="left" w:pos="2330"/>
        </w:tabs>
        <w:spacing w:line="240" w:lineRule="atLeast"/>
        <w:rPr>
          <w:rFonts w:ascii="Verdana" w:hAnsi="Verdana"/>
          <w:b/>
          <w:bCs/>
          <w:sz w:val="18"/>
          <w:szCs w:val="18"/>
        </w:rPr>
      </w:pPr>
    </w:p>
    <w:p w14:paraId="54DAC7E5" w14:textId="03156DEA" w:rsidR="00C872D6" w:rsidRPr="00C245E3" w:rsidRDefault="283477C2" w:rsidP="00C245E3">
      <w:pPr>
        <w:tabs>
          <w:tab w:val="left" w:pos="2330"/>
        </w:tabs>
        <w:spacing w:line="240" w:lineRule="atLeast"/>
        <w:rPr>
          <w:rFonts w:ascii="Verdana" w:hAnsi="Verdana"/>
          <w:b/>
          <w:bCs/>
          <w:sz w:val="18"/>
          <w:szCs w:val="18"/>
        </w:rPr>
      </w:pPr>
      <w:r w:rsidRPr="00C245E3">
        <w:rPr>
          <w:rFonts w:ascii="Verdana" w:hAnsi="Verdana"/>
          <w:b/>
          <w:sz w:val="18"/>
          <w:szCs w:val="18"/>
        </w:rPr>
        <w:t>Article 1</w:t>
      </w:r>
    </w:p>
    <w:p w14:paraId="68336E63" w14:textId="77777777" w:rsidR="000046E6" w:rsidRPr="00C245E3" w:rsidRDefault="000046E6" w:rsidP="00C245E3">
      <w:pPr>
        <w:widowControl w:val="0"/>
        <w:autoSpaceDE w:val="0"/>
        <w:autoSpaceDN w:val="0"/>
        <w:adjustRightInd w:val="0"/>
        <w:spacing w:line="240" w:lineRule="atLeast"/>
        <w:rPr>
          <w:rFonts w:ascii="Verdana" w:hAnsi="Verdana" w:cs="Arial"/>
          <w:kern w:val="0"/>
          <w:sz w:val="18"/>
          <w:szCs w:val="18"/>
        </w:rPr>
      </w:pPr>
      <w:r w:rsidRPr="00C245E3">
        <w:rPr>
          <w:rFonts w:ascii="Verdana" w:hAnsi="Verdana"/>
          <w:sz w:val="18"/>
          <w:szCs w:val="18"/>
        </w:rPr>
        <w:t>The administrative rules appended as an annexe to this Order apply to grants awarded under article 5.1 (a), (b), (g) and (h) of the Ministry of Foreign Affairs Grant Regulations 2006, with a view to supporting activities carried out by partnerships which are aimed at sustainable, climate-friendly sector change and market development in relation to water, food security and specific other sectors and value chains as referred to in appendix 1 of the administrative rules appended to this Order from the date on which this Order enters into force up to and including 31 December 2036.</w:t>
      </w:r>
    </w:p>
    <w:p w14:paraId="181EAFC6" w14:textId="77777777" w:rsidR="00A41A84" w:rsidRPr="00C245E3" w:rsidRDefault="00A41A84" w:rsidP="00C245E3">
      <w:pPr>
        <w:spacing w:line="240" w:lineRule="atLeast"/>
        <w:rPr>
          <w:rFonts w:ascii="Verdana" w:hAnsi="Verdana"/>
          <w:b/>
          <w:bCs/>
          <w:sz w:val="18"/>
          <w:szCs w:val="18"/>
        </w:rPr>
      </w:pPr>
    </w:p>
    <w:p w14:paraId="6C49F04E" w14:textId="77777777" w:rsidR="00824AB5" w:rsidRPr="00C245E3" w:rsidRDefault="00824AB5" w:rsidP="00C245E3">
      <w:pPr>
        <w:spacing w:line="240" w:lineRule="atLeast"/>
        <w:rPr>
          <w:rFonts w:ascii="Verdana" w:hAnsi="Verdana"/>
          <w:b/>
          <w:bCs/>
          <w:sz w:val="18"/>
          <w:szCs w:val="18"/>
        </w:rPr>
      </w:pPr>
      <w:r w:rsidRPr="00C245E3">
        <w:rPr>
          <w:rFonts w:ascii="Verdana" w:hAnsi="Verdana"/>
          <w:b/>
          <w:sz w:val="18"/>
          <w:szCs w:val="18"/>
        </w:rPr>
        <w:t>Article 2</w:t>
      </w:r>
    </w:p>
    <w:p w14:paraId="47BF13BE" w14:textId="77777777" w:rsidR="00824AB5" w:rsidRPr="00C245E3" w:rsidRDefault="00824AB5" w:rsidP="00C245E3">
      <w:pPr>
        <w:pStyle w:val="Lijstalinea"/>
        <w:widowControl w:val="0"/>
        <w:numPr>
          <w:ilvl w:val="0"/>
          <w:numId w:val="45"/>
        </w:numPr>
        <w:autoSpaceDE w:val="0"/>
        <w:autoSpaceDN w:val="0"/>
        <w:adjustRightInd w:val="0"/>
        <w:spacing w:line="240" w:lineRule="atLeast"/>
        <w:rPr>
          <w:rFonts w:ascii="Verdana" w:hAnsi="Verdana" w:cs="Arial"/>
          <w:sz w:val="18"/>
          <w:szCs w:val="18"/>
        </w:rPr>
      </w:pPr>
      <w:r w:rsidRPr="00C245E3">
        <w:rPr>
          <w:rFonts w:ascii="Verdana" w:hAnsi="Verdana"/>
          <w:sz w:val="18"/>
          <w:szCs w:val="18"/>
        </w:rPr>
        <w:t xml:space="preserve">Grant applications under the Dutch Diamonds Partnerships Grant Programme may be submitted from 9.00 CET on 7 December 2026 until 17.00 CET on 15 February 2027. </w:t>
      </w:r>
    </w:p>
    <w:p w14:paraId="086531C6" w14:textId="77777777" w:rsidR="00824AB5" w:rsidRPr="00C245E3" w:rsidRDefault="00824AB5" w:rsidP="00C245E3">
      <w:pPr>
        <w:pStyle w:val="Lijstalinea"/>
        <w:widowControl w:val="0"/>
        <w:numPr>
          <w:ilvl w:val="0"/>
          <w:numId w:val="45"/>
        </w:numPr>
        <w:autoSpaceDE w:val="0"/>
        <w:autoSpaceDN w:val="0"/>
        <w:adjustRightInd w:val="0"/>
        <w:spacing w:line="240" w:lineRule="atLeast"/>
        <w:rPr>
          <w:rFonts w:ascii="Verdana" w:hAnsi="Verdana" w:cs="Arial"/>
          <w:sz w:val="18"/>
          <w:szCs w:val="18"/>
        </w:rPr>
      </w:pPr>
      <w:r w:rsidRPr="00C245E3">
        <w:rPr>
          <w:rFonts w:ascii="Verdana" w:hAnsi="Verdana"/>
          <w:sz w:val="18"/>
          <w:szCs w:val="18"/>
        </w:rPr>
        <w:t>Grant applications under the Dutch Diamonds Partnerships Grant Programme must be submitted using the application form made available by the Minister and must be accompanied by the documents stipulated in that form.</w:t>
      </w:r>
      <w:r w:rsidRPr="00C245E3">
        <w:rPr>
          <w:rStyle w:val="Voetnootmarkering"/>
          <w:rFonts w:ascii="Verdana" w:hAnsi="Verdana" w:cs="Arial"/>
          <w:kern w:val="0"/>
          <w:sz w:val="18"/>
          <w:szCs w:val="18"/>
        </w:rPr>
        <w:footnoteReference w:id="2"/>
      </w:r>
    </w:p>
    <w:p w14:paraId="2D3332ED" w14:textId="77777777" w:rsidR="00824AB5" w:rsidRPr="00C245E3" w:rsidRDefault="00824AB5" w:rsidP="00C245E3">
      <w:pPr>
        <w:spacing w:line="240" w:lineRule="atLeast"/>
        <w:rPr>
          <w:rFonts w:ascii="Verdana" w:hAnsi="Verdana"/>
          <w:sz w:val="18"/>
          <w:szCs w:val="18"/>
        </w:rPr>
      </w:pPr>
    </w:p>
    <w:p w14:paraId="20357834" w14:textId="77777777" w:rsidR="00824AB5" w:rsidRPr="00C245E3" w:rsidRDefault="00824AB5" w:rsidP="00C245E3">
      <w:pPr>
        <w:spacing w:line="240" w:lineRule="atLeast"/>
        <w:rPr>
          <w:rFonts w:ascii="Verdana" w:hAnsi="Verdana"/>
          <w:b/>
          <w:bCs/>
          <w:sz w:val="18"/>
          <w:szCs w:val="18"/>
        </w:rPr>
      </w:pPr>
      <w:r w:rsidRPr="00C245E3">
        <w:rPr>
          <w:rFonts w:ascii="Verdana" w:hAnsi="Verdana"/>
          <w:b/>
          <w:sz w:val="18"/>
          <w:szCs w:val="18"/>
        </w:rPr>
        <w:t>Article 3</w:t>
      </w:r>
    </w:p>
    <w:p w14:paraId="4B859B46" w14:textId="77777777" w:rsidR="00824AB5" w:rsidRPr="00C245E3" w:rsidRDefault="00824AB5"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A grant ceiling of €51,000,000 applies to applications under the Dutch Diamonds Partnerships Grant Programme as referred to in article 2, paragraph 1, subdivided over the following grant ceilings:</w:t>
      </w:r>
    </w:p>
    <w:p w14:paraId="5FA298B5" w14:textId="77777777" w:rsidR="00824AB5" w:rsidRPr="00C245E3" w:rsidRDefault="00824AB5" w:rsidP="00C245E3">
      <w:pPr>
        <w:pStyle w:val="Lijstalinea"/>
        <w:widowControl w:val="0"/>
        <w:numPr>
          <w:ilvl w:val="0"/>
          <w:numId w:val="4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€10,000,000 for activities focusing on the theme of water security and flood safety;</w:t>
      </w:r>
    </w:p>
    <w:p w14:paraId="7BC92E25" w14:textId="77777777" w:rsidR="00824AB5" w:rsidRPr="00C245E3" w:rsidRDefault="00824AB5" w:rsidP="00C245E3">
      <w:pPr>
        <w:pStyle w:val="Lijstalinea"/>
        <w:widowControl w:val="0"/>
        <w:numPr>
          <w:ilvl w:val="0"/>
          <w:numId w:val="4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€10,000,000 for activities focusing on the theme of food security;</w:t>
      </w:r>
    </w:p>
    <w:p w14:paraId="6FFC2BD6" w14:textId="502C88AB" w:rsidR="00824AB5" w:rsidRPr="00C245E3" w:rsidRDefault="00824AB5" w:rsidP="00C245E3">
      <w:pPr>
        <w:pStyle w:val="Lijstalinea"/>
        <w:widowControl w:val="0"/>
        <w:numPr>
          <w:ilvl w:val="0"/>
          <w:numId w:val="4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€10,000,000 for activities focusing on the theme of the nexus of water and food security;</w:t>
      </w:r>
    </w:p>
    <w:p w14:paraId="382AAE3F" w14:textId="77777777" w:rsidR="00824AB5" w:rsidRPr="00C245E3" w:rsidRDefault="00824AB5" w:rsidP="00C245E3">
      <w:pPr>
        <w:pStyle w:val="Lijstalinea"/>
        <w:widowControl w:val="0"/>
        <w:numPr>
          <w:ilvl w:val="0"/>
          <w:numId w:val="4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 xml:space="preserve">€21,000,000 for activities focusing on the theme of sustainable market development in specific sectors and value chains linked to specific partner countries (as referred to in appendix 1 of the administrative rules appended to this Order). </w:t>
      </w:r>
    </w:p>
    <w:p w14:paraId="30A620B1" w14:textId="77777777" w:rsidR="0093799A" w:rsidRPr="00C245E3" w:rsidRDefault="0093799A" w:rsidP="00C245E3">
      <w:pPr>
        <w:widowControl w:val="0"/>
        <w:autoSpaceDE w:val="0"/>
        <w:autoSpaceDN w:val="0"/>
        <w:adjustRightInd w:val="0"/>
        <w:spacing w:line="240" w:lineRule="atLeast"/>
        <w:rPr>
          <w:rFonts w:ascii="Verdana" w:hAnsi="Verdana"/>
          <w:b/>
          <w:bCs/>
          <w:sz w:val="18"/>
          <w:szCs w:val="18"/>
        </w:rPr>
      </w:pPr>
    </w:p>
    <w:p w14:paraId="4857020A" w14:textId="4DDD6294" w:rsidR="00343883" w:rsidRPr="00C245E3" w:rsidRDefault="283477C2" w:rsidP="00C245E3">
      <w:pPr>
        <w:widowControl w:val="0"/>
        <w:autoSpaceDE w:val="0"/>
        <w:autoSpaceDN w:val="0"/>
        <w:adjustRightInd w:val="0"/>
        <w:spacing w:line="240" w:lineRule="atLeast"/>
        <w:rPr>
          <w:rFonts w:ascii="Verdana" w:hAnsi="Verdana"/>
          <w:b/>
          <w:sz w:val="18"/>
          <w:szCs w:val="18"/>
        </w:rPr>
      </w:pPr>
      <w:r w:rsidRPr="00C245E3">
        <w:rPr>
          <w:rFonts w:ascii="Verdana" w:hAnsi="Verdana"/>
          <w:b/>
          <w:sz w:val="18"/>
          <w:szCs w:val="18"/>
        </w:rPr>
        <w:t>Article 4</w:t>
      </w:r>
    </w:p>
    <w:p w14:paraId="7040E2EA" w14:textId="4C92D02B" w:rsidR="00687848" w:rsidRPr="00C245E3" w:rsidRDefault="283477C2" w:rsidP="00C245E3">
      <w:pPr>
        <w:widowControl w:val="0"/>
        <w:autoSpaceDE w:val="0"/>
        <w:autoSpaceDN w:val="0"/>
        <w:adjustRightInd w:val="0"/>
        <w:spacing w:line="240" w:lineRule="atLeast"/>
        <w:rPr>
          <w:rFonts w:ascii="Verdana" w:hAnsi="Verdana" w:cs="Arial"/>
          <w:b/>
          <w:bCs/>
          <w:sz w:val="18"/>
          <w:szCs w:val="18"/>
        </w:rPr>
      </w:pPr>
      <w:r w:rsidRPr="00C245E3">
        <w:rPr>
          <w:rFonts w:ascii="Verdana" w:hAnsi="Verdana"/>
          <w:sz w:val="18"/>
          <w:szCs w:val="18"/>
        </w:rPr>
        <w:t xml:space="preserve">The funds available under each of the ceilings referred to in article 3 will be allocated in accordance with an assessment based on the criteria set out in the annexe to this Order, on the understanding that, of the applications that meet the criteria, those that meet them best will be given priority, with due regard for the need for an even distribution of the available funds as referred to in article </w:t>
      </w:r>
      <w:r w:rsidRPr="00C245E3">
        <w:rPr>
          <w:rFonts w:ascii="Verdana" w:hAnsi="Verdana"/>
          <w:sz w:val="18"/>
          <w:szCs w:val="18"/>
        </w:rPr>
        <w:lastRenderedPageBreak/>
        <w:t>8, paragraph 3 (d) of the Ministry of Foreign Affairs Grants Decree.</w:t>
      </w:r>
    </w:p>
    <w:p w14:paraId="044E2931" w14:textId="77777777" w:rsidR="00960745" w:rsidRPr="00C245E3" w:rsidRDefault="00960745" w:rsidP="00C245E3">
      <w:pPr>
        <w:spacing w:line="240" w:lineRule="atLeast"/>
        <w:rPr>
          <w:rFonts w:ascii="Verdana" w:hAnsi="Verdana"/>
          <w:b/>
          <w:bCs/>
          <w:sz w:val="18"/>
          <w:szCs w:val="18"/>
        </w:rPr>
      </w:pPr>
    </w:p>
    <w:p w14:paraId="458EEBC8" w14:textId="77777777" w:rsidR="002F686F" w:rsidRPr="00C245E3" w:rsidRDefault="283477C2" w:rsidP="00C245E3">
      <w:pPr>
        <w:spacing w:line="240" w:lineRule="atLeast"/>
        <w:rPr>
          <w:rFonts w:ascii="Verdana" w:hAnsi="Verdana"/>
          <w:b/>
          <w:bCs/>
          <w:sz w:val="18"/>
          <w:szCs w:val="18"/>
        </w:rPr>
      </w:pPr>
      <w:r w:rsidRPr="00C245E3">
        <w:rPr>
          <w:rFonts w:ascii="Verdana" w:hAnsi="Verdana"/>
          <w:b/>
          <w:sz w:val="18"/>
          <w:szCs w:val="18"/>
        </w:rPr>
        <w:t>Article 5</w:t>
      </w:r>
    </w:p>
    <w:p w14:paraId="49EBCE2E" w14:textId="77777777" w:rsidR="004D535C" w:rsidRPr="00C245E3" w:rsidRDefault="283477C2" w:rsidP="00C245E3">
      <w:pPr>
        <w:spacing w:line="240" w:lineRule="atLeast"/>
        <w:rPr>
          <w:rFonts w:ascii="Verdana" w:hAnsi="Verdana"/>
          <w:sz w:val="18"/>
          <w:szCs w:val="18"/>
        </w:rPr>
      </w:pPr>
      <w:r w:rsidRPr="00C245E3">
        <w:rPr>
          <w:rFonts w:ascii="Verdana" w:hAnsi="Verdana"/>
          <w:sz w:val="18"/>
          <w:szCs w:val="18"/>
        </w:rPr>
        <w:t>This Order enters into force on the day after the date of the Government Gazette in which it appears and lapses with effect from 1 January 2037, with the proviso that it continues to apply to applications submitted and grants awarded prior to that date.</w:t>
      </w:r>
    </w:p>
    <w:p w14:paraId="765198D1" w14:textId="77777777" w:rsidR="00A41A84" w:rsidRPr="00C245E3" w:rsidRDefault="00A41A84" w:rsidP="00C245E3">
      <w:pPr>
        <w:spacing w:line="240" w:lineRule="atLeast"/>
        <w:rPr>
          <w:rFonts w:ascii="Verdana" w:hAnsi="Verdana"/>
          <w:b/>
          <w:bCs/>
          <w:sz w:val="18"/>
          <w:szCs w:val="18"/>
        </w:rPr>
      </w:pPr>
    </w:p>
    <w:p w14:paraId="33608F86" w14:textId="77777777" w:rsidR="00693717" w:rsidRPr="00C245E3" w:rsidRDefault="283477C2" w:rsidP="00C245E3">
      <w:pPr>
        <w:spacing w:line="240" w:lineRule="atLeast"/>
        <w:rPr>
          <w:rFonts w:ascii="Verdana" w:hAnsi="Verdana"/>
          <w:b/>
          <w:bCs/>
          <w:sz w:val="18"/>
          <w:szCs w:val="18"/>
        </w:rPr>
      </w:pPr>
      <w:r w:rsidRPr="00C245E3">
        <w:rPr>
          <w:rFonts w:ascii="Verdana" w:hAnsi="Verdana"/>
          <w:b/>
          <w:sz w:val="18"/>
          <w:szCs w:val="18"/>
        </w:rPr>
        <w:t>Article 6</w:t>
      </w:r>
    </w:p>
    <w:p w14:paraId="2A0B05C9" w14:textId="77777777" w:rsidR="00693717" w:rsidRPr="00C245E3" w:rsidRDefault="283477C2" w:rsidP="00C245E3">
      <w:pPr>
        <w:spacing w:line="240" w:lineRule="atLeast"/>
        <w:rPr>
          <w:rFonts w:ascii="Verdana" w:hAnsi="Verdana"/>
          <w:sz w:val="18"/>
          <w:szCs w:val="18"/>
        </w:rPr>
      </w:pPr>
      <w:r w:rsidRPr="00C245E3">
        <w:rPr>
          <w:rFonts w:ascii="Verdana" w:hAnsi="Verdana"/>
          <w:sz w:val="18"/>
          <w:szCs w:val="18"/>
        </w:rPr>
        <w:t>This Order is to be cited as the Dutch Diamonds Partnerships Grant Programme.</w:t>
      </w:r>
    </w:p>
    <w:p w14:paraId="36E13D69"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This Order and its accompanying annexe, including the appendices, will be published in the Government Gazette.</w:t>
      </w:r>
    </w:p>
    <w:p w14:paraId="79FDBA2F" w14:textId="77777777" w:rsidR="00A41A84" w:rsidRPr="00C245E3" w:rsidRDefault="00A41A84" w:rsidP="00C245E3">
      <w:pPr>
        <w:spacing w:line="240" w:lineRule="atLeast"/>
        <w:rPr>
          <w:rFonts w:ascii="Verdana" w:hAnsi="Verdana"/>
          <w:sz w:val="18"/>
          <w:szCs w:val="18"/>
        </w:rPr>
      </w:pPr>
    </w:p>
    <w:p w14:paraId="11C513B7" w14:textId="39E03630" w:rsidR="00A60FBC" w:rsidRPr="00C245E3" w:rsidRDefault="283477C2" w:rsidP="00C245E3">
      <w:pPr>
        <w:spacing w:line="240" w:lineRule="atLeast"/>
        <w:rPr>
          <w:rFonts w:ascii="Verdana" w:hAnsi="Verdana"/>
          <w:b/>
          <w:bCs/>
          <w:sz w:val="18"/>
          <w:szCs w:val="18"/>
        </w:rPr>
      </w:pPr>
      <w:r w:rsidRPr="00C245E3">
        <w:rPr>
          <w:rFonts w:ascii="Verdana" w:hAnsi="Verdana"/>
          <w:sz w:val="18"/>
          <w:szCs w:val="18"/>
        </w:rPr>
        <w:t>Pascalle Grotenhuis</w:t>
      </w:r>
      <w:r w:rsidR="00343883" w:rsidRPr="00C245E3">
        <w:rPr>
          <w:rFonts w:ascii="Verdana" w:hAnsi="Verdana"/>
          <w:sz w:val="18"/>
          <w:szCs w:val="18"/>
        </w:rPr>
        <w:br/>
      </w:r>
      <w:r w:rsidRPr="00C245E3">
        <w:rPr>
          <w:rFonts w:ascii="Verdana" w:hAnsi="Verdana"/>
          <w:sz w:val="18"/>
          <w:szCs w:val="18"/>
        </w:rPr>
        <w:t>Director-General for International Cooperation</w:t>
      </w:r>
      <w:r w:rsidR="00343883" w:rsidRPr="00C245E3">
        <w:rPr>
          <w:rFonts w:ascii="Verdana" w:hAnsi="Verdana"/>
          <w:sz w:val="18"/>
          <w:szCs w:val="18"/>
        </w:rPr>
        <w:br/>
      </w:r>
      <w:r w:rsidRPr="00C245E3">
        <w:rPr>
          <w:rFonts w:ascii="Verdana" w:hAnsi="Verdana"/>
          <w:sz w:val="18"/>
          <w:szCs w:val="18"/>
        </w:rPr>
        <w:t>For the</w:t>
      </w:r>
      <w:r w:rsidR="00343883" w:rsidRPr="00C245E3">
        <w:rPr>
          <w:rFonts w:ascii="Verdana" w:hAnsi="Verdana"/>
          <w:sz w:val="18"/>
          <w:szCs w:val="18"/>
        </w:rPr>
        <w:t xml:space="preserve"> </w:t>
      </w:r>
      <w:r w:rsidRPr="00C245E3">
        <w:rPr>
          <w:rFonts w:ascii="Verdana" w:hAnsi="Verdana"/>
          <w:sz w:val="18"/>
          <w:szCs w:val="18"/>
        </w:rPr>
        <w:t>Minister of Foreign Trade and Development Cooperation</w:t>
      </w:r>
      <w:r w:rsidRPr="00C245E3">
        <w:rPr>
          <w:rFonts w:ascii="Verdana" w:hAnsi="Verdana"/>
          <w:sz w:val="18"/>
          <w:szCs w:val="18"/>
        </w:rPr>
        <w:br w:type="page"/>
      </w:r>
    </w:p>
    <w:p w14:paraId="5091FDD0" w14:textId="77777777" w:rsidR="00A60FBC" w:rsidRPr="00C245E3" w:rsidRDefault="283477C2" w:rsidP="00C245E3">
      <w:pPr>
        <w:spacing w:line="240" w:lineRule="atLeast"/>
        <w:rPr>
          <w:rFonts w:ascii="Verdana" w:hAnsi="Verdana"/>
          <w:b/>
          <w:bCs/>
          <w:sz w:val="18"/>
          <w:szCs w:val="18"/>
        </w:rPr>
      </w:pPr>
      <w:r w:rsidRPr="00C245E3">
        <w:rPr>
          <w:rFonts w:ascii="Verdana" w:hAnsi="Verdana"/>
          <w:b/>
          <w:sz w:val="18"/>
          <w:szCs w:val="18"/>
        </w:rPr>
        <w:lastRenderedPageBreak/>
        <w:t>ANNEXE - ADMINISTRATIVE RULES</w:t>
      </w:r>
    </w:p>
    <w:p w14:paraId="0BC30675" w14:textId="77777777" w:rsidR="006E5FDF" w:rsidRPr="00C245E3" w:rsidRDefault="006E5FDF" w:rsidP="00C245E3">
      <w:pPr>
        <w:spacing w:line="240" w:lineRule="atLeast"/>
        <w:rPr>
          <w:rFonts w:ascii="Verdana" w:hAnsi="Verdana"/>
          <w:b/>
          <w:bCs/>
          <w:sz w:val="18"/>
          <w:szCs w:val="18"/>
        </w:rPr>
      </w:pPr>
    </w:p>
    <w:p w14:paraId="53DB6D93" w14:textId="77777777" w:rsidR="00826253" w:rsidRPr="00C245E3" w:rsidRDefault="283477C2" w:rsidP="00C245E3">
      <w:pPr>
        <w:pStyle w:val="Lijstalinea"/>
        <w:numPr>
          <w:ilvl w:val="0"/>
          <w:numId w:val="6"/>
        </w:numPr>
        <w:spacing w:line="240" w:lineRule="atLeast"/>
        <w:rPr>
          <w:rFonts w:ascii="Verdana" w:hAnsi="Verdana"/>
          <w:b/>
          <w:bCs/>
          <w:sz w:val="18"/>
          <w:szCs w:val="18"/>
        </w:rPr>
      </w:pPr>
      <w:r w:rsidRPr="00C245E3">
        <w:rPr>
          <w:rFonts w:ascii="Verdana" w:hAnsi="Verdana"/>
          <w:b/>
          <w:sz w:val="18"/>
          <w:szCs w:val="18"/>
        </w:rPr>
        <w:t>General</w:t>
      </w:r>
    </w:p>
    <w:p w14:paraId="24078DA6" w14:textId="77777777" w:rsidR="00826253" w:rsidRPr="00C245E3" w:rsidRDefault="00826253" w:rsidP="00C245E3">
      <w:pPr>
        <w:spacing w:line="240" w:lineRule="atLeast"/>
        <w:rPr>
          <w:rFonts w:ascii="Verdana" w:hAnsi="Verdana"/>
          <w:b/>
          <w:bCs/>
          <w:sz w:val="18"/>
          <w:szCs w:val="18"/>
        </w:rPr>
      </w:pPr>
    </w:p>
    <w:p w14:paraId="50D1ECB3" w14:textId="77777777" w:rsidR="00C872D6" w:rsidRPr="00C245E3" w:rsidRDefault="283477C2" w:rsidP="00C245E3">
      <w:pPr>
        <w:spacing w:line="240" w:lineRule="atLeast"/>
        <w:rPr>
          <w:rFonts w:ascii="Verdana" w:hAnsi="Verdana"/>
          <w:i/>
          <w:iCs/>
          <w:sz w:val="18"/>
          <w:szCs w:val="18"/>
        </w:rPr>
      </w:pPr>
      <w:r w:rsidRPr="00C245E3">
        <w:rPr>
          <w:rFonts w:ascii="Verdana" w:hAnsi="Verdana"/>
          <w:i/>
          <w:sz w:val="18"/>
          <w:szCs w:val="18"/>
        </w:rPr>
        <w:t>1.1 Background</w:t>
      </w:r>
    </w:p>
    <w:p w14:paraId="20726F3D" w14:textId="2D6D2718" w:rsidR="005B6671" w:rsidRPr="00C245E3" w:rsidRDefault="00BB513F" w:rsidP="00C245E3">
      <w:pPr>
        <w:spacing w:line="240" w:lineRule="atLeast"/>
        <w:rPr>
          <w:rFonts w:ascii="Verdana" w:hAnsi="Verdana"/>
          <w:sz w:val="18"/>
          <w:szCs w:val="18"/>
        </w:rPr>
      </w:pPr>
      <w:r w:rsidRPr="00C245E3">
        <w:rPr>
          <w:rFonts w:ascii="Verdana" w:hAnsi="Verdana"/>
          <w:sz w:val="18"/>
          <w:szCs w:val="18"/>
        </w:rPr>
        <w:t>In line with its policy letter of 24 April 2026,</w:t>
      </w:r>
      <w:r w:rsidR="00804D23" w:rsidRPr="00C245E3">
        <w:rPr>
          <w:rStyle w:val="Voetnootmarkering"/>
          <w:rFonts w:ascii="Verdana" w:hAnsi="Verdana"/>
          <w:sz w:val="18"/>
          <w:szCs w:val="18"/>
        </w:rPr>
        <w:footnoteReference w:id="3"/>
      </w:r>
      <w:r w:rsidRPr="00C245E3">
        <w:rPr>
          <w:rFonts w:ascii="Verdana" w:hAnsi="Verdana"/>
          <w:sz w:val="18"/>
          <w:szCs w:val="18"/>
        </w:rPr>
        <w:t xml:space="preserve"> the Ministry of Foreign Affairs must renew its efforts in the areas of water and food security, economic development and private sector development through public-private partnerships. Strong and equal economic partnerships that take account of people and planet, generating growth and prosperity in the Global South, will allow Europe to provide a counterweight to the economic influence of other powerful blocs. In this </w:t>
      </w:r>
      <w:r w:rsidR="00910C57" w:rsidRPr="00C245E3">
        <w:rPr>
          <w:rFonts w:ascii="Verdana" w:hAnsi="Verdana"/>
          <w:sz w:val="18"/>
          <w:szCs w:val="18"/>
        </w:rPr>
        <w:t xml:space="preserve">context </w:t>
      </w:r>
      <w:r w:rsidRPr="00C245E3">
        <w:rPr>
          <w:rFonts w:ascii="Verdana" w:hAnsi="Verdana"/>
          <w:sz w:val="18"/>
          <w:szCs w:val="18"/>
        </w:rPr>
        <w:t>we will work actively to develop equal partnerships and advance the EU’s Global Gateway strategy.</w:t>
      </w:r>
      <w:r w:rsidR="005B6671" w:rsidRPr="00C245E3">
        <w:rPr>
          <w:rStyle w:val="Voetnootmarkering"/>
          <w:rFonts w:ascii="Verdana" w:hAnsi="Verdana"/>
          <w:sz w:val="18"/>
          <w:szCs w:val="18"/>
        </w:rPr>
        <w:footnoteReference w:id="4"/>
      </w:r>
      <w:r w:rsidRPr="00C245E3">
        <w:rPr>
          <w:rFonts w:ascii="Verdana" w:hAnsi="Verdana"/>
          <w:sz w:val="18"/>
          <w:szCs w:val="18"/>
        </w:rPr>
        <w:t xml:space="preserve"> The ‘Dutch Diamond Approach’ will help drive these efforts, with government, businesses, knowledge institutions and civil society organisations bundling their expertise in climate adaptation, water management, food security, biodiversity, energy, transport, finance and health.</w:t>
      </w:r>
    </w:p>
    <w:p w14:paraId="7817F1E2" w14:textId="00F4C13A" w:rsidR="00E32BE0" w:rsidRPr="00C245E3" w:rsidRDefault="001A7F79" w:rsidP="00C245E3">
      <w:pPr>
        <w:spacing w:line="240" w:lineRule="atLeast"/>
        <w:rPr>
          <w:rFonts w:ascii="Verdana" w:hAnsi="Verdana"/>
          <w:sz w:val="18"/>
          <w:szCs w:val="18"/>
        </w:rPr>
      </w:pPr>
      <w:r w:rsidRPr="00C245E3">
        <w:rPr>
          <w:rFonts w:ascii="Verdana" w:hAnsi="Verdana"/>
          <w:sz w:val="18"/>
          <w:szCs w:val="18"/>
        </w:rPr>
        <w:t xml:space="preserve">In response to the motion by MP Mustafa </w:t>
      </w:r>
      <w:proofErr w:type="spellStart"/>
      <w:r w:rsidRPr="00C245E3">
        <w:rPr>
          <w:rFonts w:ascii="Verdana" w:hAnsi="Verdana"/>
          <w:sz w:val="18"/>
          <w:szCs w:val="18"/>
        </w:rPr>
        <w:t>Amhaouch</w:t>
      </w:r>
      <w:proofErr w:type="spellEnd"/>
      <w:r w:rsidRPr="00C245E3">
        <w:rPr>
          <w:rFonts w:ascii="Verdana" w:hAnsi="Verdana"/>
          <w:sz w:val="18"/>
          <w:szCs w:val="18"/>
        </w:rPr>
        <w:t xml:space="preserve"> (6 July 2023),</w:t>
      </w:r>
      <w:r w:rsidR="008006CC" w:rsidRPr="00C245E3">
        <w:rPr>
          <w:rStyle w:val="Voetnootmarkering"/>
          <w:rFonts w:ascii="Verdana" w:hAnsi="Verdana"/>
          <w:sz w:val="18"/>
          <w:szCs w:val="18"/>
        </w:rPr>
        <w:footnoteReference w:id="5"/>
      </w:r>
      <w:r w:rsidRPr="00C245E3">
        <w:rPr>
          <w:rFonts w:ascii="Verdana" w:hAnsi="Verdana"/>
          <w:sz w:val="18"/>
          <w:szCs w:val="18"/>
        </w:rPr>
        <w:t xml:space="preserve"> the government gave the undertaking to examine how public-private programmes could be scaled up so that Dutch expertise can contribute to the local development of sustainable water and agricultural sectors. The motion built on programmes that had already been concluded, such as the Ghana WASH Window (GWW) of the Sustainable Water Fund and the Sustainable Entr</w:t>
      </w:r>
      <w:r w:rsidR="00046F77" w:rsidRPr="00C245E3">
        <w:rPr>
          <w:rFonts w:ascii="Verdana" w:hAnsi="Verdana"/>
          <w:sz w:val="18"/>
          <w:szCs w:val="18"/>
        </w:rPr>
        <w:t>e</w:t>
      </w:r>
      <w:r w:rsidRPr="00C245E3">
        <w:rPr>
          <w:rFonts w:ascii="Verdana" w:hAnsi="Verdana"/>
          <w:sz w:val="18"/>
          <w:szCs w:val="18"/>
        </w:rPr>
        <w:t>preneurship and Food Security Facility (FDOV). Meanwhile, current Ministry programmes like the SDG Partnership Facility (SDGP) and the Sustainable Water Fund (FDW) are ending soon.</w:t>
      </w:r>
    </w:p>
    <w:p w14:paraId="3414C061" w14:textId="4BA75961" w:rsidR="00E32BE0" w:rsidRPr="00C245E3" w:rsidRDefault="283477C2" w:rsidP="00C245E3">
      <w:pPr>
        <w:pStyle w:val="Geenafstand"/>
        <w:spacing w:after="160" w:line="240" w:lineRule="atLeast"/>
        <w:rPr>
          <w:rFonts w:ascii="Verdana" w:hAnsi="Verdana" w:cs="Arial"/>
          <w:sz w:val="18"/>
          <w:szCs w:val="18"/>
        </w:rPr>
      </w:pPr>
      <w:r w:rsidRPr="00C245E3">
        <w:rPr>
          <w:rFonts w:ascii="Verdana" w:hAnsi="Verdana"/>
          <w:sz w:val="18"/>
          <w:szCs w:val="18"/>
        </w:rPr>
        <w:t>Through the Dutch Diamonds Partnerships Grant Programme (</w:t>
      </w:r>
      <w:r w:rsidR="00364EA8" w:rsidRPr="00C245E3">
        <w:rPr>
          <w:rFonts w:ascii="Verdana" w:hAnsi="Verdana"/>
          <w:sz w:val="18"/>
          <w:szCs w:val="18"/>
        </w:rPr>
        <w:t xml:space="preserve">hereafter: </w:t>
      </w:r>
      <w:r w:rsidRPr="00C245E3">
        <w:rPr>
          <w:rFonts w:ascii="Verdana" w:hAnsi="Verdana"/>
          <w:sz w:val="18"/>
          <w:szCs w:val="18"/>
        </w:rPr>
        <w:t xml:space="preserve">‘grant programme’) the Minister aims to contribute to activities carried out by public-private partnerships (PPPs) which are focused on achieving sustainable, climate-friendly sector change and market development in relation to water, food security and specific other sectors and value chains (see appendix 1 to these administrative rules for a specification of the sectors and value chains per partner country) in which the Netherlands has valuable knowledge and expertise, which  it will also seek to enhance by working in the partner countries. Partnerships will focus on the needs and wishes of the partner country in question. As a positive side effect, the grant programme may boost the Netherlands’ future earning capacity. </w:t>
      </w:r>
    </w:p>
    <w:p w14:paraId="7BB3DCF1" w14:textId="7A0F818E" w:rsidR="00E32BE0" w:rsidRPr="00C245E3" w:rsidRDefault="283477C2" w:rsidP="00C245E3">
      <w:pPr>
        <w:pStyle w:val="pf0"/>
        <w:spacing w:before="0" w:beforeAutospacing="0" w:after="160" w:afterAutospacing="0" w:line="240" w:lineRule="atLeast"/>
        <w:rPr>
          <w:rFonts w:ascii="Verdana" w:hAnsi="Verdana" w:cs="Arial"/>
          <w:sz w:val="18"/>
          <w:szCs w:val="18"/>
        </w:rPr>
      </w:pPr>
      <w:r w:rsidRPr="00C245E3">
        <w:rPr>
          <w:rFonts w:ascii="Verdana" w:hAnsi="Verdana"/>
          <w:sz w:val="18"/>
          <w:szCs w:val="18"/>
        </w:rPr>
        <w:t>Worldwide, the Netherlands has a strong reputation in the area of water management</w:t>
      </w:r>
      <w:bookmarkStart w:id="1" w:name="_Hlk237265273"/>
      <w:r w:rsidRPr="00C245E3">
        <w:rPr>
          <w:rFonts w:ascii="Verdana" w:hAnsi="Verdana"/>
          <w:sz w:val="18"/>
          <w:szCs w:val="18"/>
        </w:rPr>
        <w:t>. Many Dutch organisations are already active in partner countries, using their expertise to develop innovative and sustainable solutions that help these countries tackle their water problems.</w:t>
      </w:r>
      <w:r w:rsidRPr="00C245E3">
        <w:rPr>
          <w:rFonts w:ascii="Verdana" w:hAnsi="Verdana"/>
          <w:color w:val="000000" w:themeColor="text1"/>
          <w:sz w:val="18"/>
          <w:szCs w:val="18"/>
        </w:rPr>
        <w:t xml:space="preserve"> Through the programme the Netherlands will be able to gain experience</w:t>
      </w:r>
      <w:r w:rsidR="009C0907" w:rsidRPr="00C245E3">
        <w:rPr>
          <w:rFonts w:ascii="Verdana" w:hAnsi="Verdana"/>
          <w:color w:val="000000" w:themeColor="text1"/>
          <w:sz w:val="18"/>
          <w:szCs w:val="18"/>
        </w:rPr>
        <w:t xml:space="preserve"> in the partner countries</w:t>
      </w:r>
      <w:r w:rsidRPr="00C245E3">
        <w:rPr>
          <w:rFonts w:ascii="Verdana" w:hAnsi="Verdana"/>
          <w:color w:val="000000" w:themeColor="text1"/>
          <w:sz w:val="18"/>
          <w:szCs w:val="18"/>
        </w:rPr>
        <w:t xml:space="preserve"> concerning, for instance, drought and flooding. </w:t>
      </w:r>
      <w:bookmarkEnd w:id="1"/>
      <w:r w:rsidRPr="00C245E3">
        <w:rPr>
          <w:rFonts w:ascii="Verdana" w:hAnsi="Verdana"/>
          <w:color w:val="000000" w:themeColor="text1"/>
          <w:sz w:val="18"/>
          <w:szCs w:val="18"/>
        </w:rPr>
        <w:t>The grant programme enables public bodies, civil society organisations, knowledge institutions and businesses in the water sector to combine their strengths, so that countries can deal more effectively with the problems of too much or too little water and water pollution, and can increase their resilience to extreme weather</w:t>
      </w:r>
      <w:r w:rsidR="00364EA8" w:rsidRPr="00C245E3">
        <w:rPr>
          <w:rFonts w:ascii="Verdana" w:hAnsi="Verdana"/>
          <w:color w:val="000000" w:themeColor="text1"/>
          <w:sz w:val="18"/>
          <w:szCs w:val="18"/>
        </w:rPr>
        <w:t xml:space="preserve"> events</w:t>
      </w:r>
      <w:r w:rsidRPr="00C245E3">
        <w:rPr>
          <w:rFonts w:ascii="Verdana" w:hAnsi="Verdana"/>
          <w:color w:val="000000" w:themeColor="text1"/>
          <w:sz w:val="18"/>
          <w:szCs w:val="18"/>
        </w:rPr>
        <w:t xml:space="preserve">. </w:t>
      </w:r>
    </w:p>
    <w:p w14:paraId="53212C60" w14:textId="29EECD70" w:rsidR="008B6363" w:rsidRPr="00C245E3" w:rsidRDefault="283477C2" w:rsidP="00C245E3">
      <w:pPr>
        <w:pStyle w:val="Geenafstand"/>
        <w:spacing w:after="160" w:line="240" w:lineRule="atLeast"/>
        <w:rPr>
          <w:rFonts w:ascii="Verdana" w:hAnsi="Verdana"/>
          <w:color w:val="000000" w:themeColor="text1"/>
          <w:sz w:val="18"/>
          <w:szCs w:val="18"/>
        </w:rPr>
      </w:pPr>
      <w:r w:rsidRPr="00C245E3">
        <w:rPr>
          <w:rFonts w:ascii="Verdana" w:hAnsi="Verdana"/>
          <w:color w:val="000000" w:themeColor="text1"/>
          <w:sz w:val="18"/>
          <w:szCs w:val="18"/>
        </w:rPr>
        <w:t>Dutch organisations also have valuable knowledge and experience</w:t>
      </w:r>
      <w:r w:rsidR="00480156" w:rsidRPr="00C245E3">
        <w:rPr>
          <w:rFonts w:ascii="Verdana" w:hAnsi="Verdana"/>
          <w:color w:val="000000" w:themeColor="text1"/>
          <w:sz w:val="18"/>
          <w:szCs w:val="18"/>
        </w:rPr>
        <w:t xml:space="preserve"> relating to food security</w:t>
      </w:r>
      <w:r w:rsidRPr="00C245E3">
        <w:rPr>
          <w:rFonts w:ascii="Verdana" w:hAnsi="Verdana"/>
          <w:color w:val="000000" w:themeColor="text1"/>
          <w:sz w:val="18"/>
          <w:szCs w:val="18"/>
        </w:rPr>
        <w:t>, including in areas like sustainable agriculture, the breeding of robust plant varieties and improving soil health. In many partner countries, this type of specialised knowledge is in high demand. Partnerships are a means of deploying and exchanging this knowledge internationally, helping to significantly increase global food security while also creating new business opportunities.</w:t>
      </w:r>
    </w:p>
    <w:p w14:paraId="3AB04022" w14:textId="77777777" w:rsidR="00BF2951" w:rsidRPr="00C245E3" w:rsidRDefault="00BF2951" w:rsidP="00C245E3">
      <w:pPr>
        <w:pStyle w:val="Geenafstand"/>
        <w:spacing w:after="160" w:line="240" w:lineRule="atLeast"/>
        <w:rPr>
          <w:rFonts w:ascii="Verdana" w:eastAsia="Verdana" w:hAnsi="Verdana" w:cs="Verdana"/>
          <w:i/>
          <w:iCs/>
          <w:sz w:val="18"/>
          <w:szCs w:val="18"/>
        </w:rPr>
      </w:pPr>
    </w:p>
    <w:p w14:paraId="1699295A" w14:textId="77777777" w:rsidR="0FC6EDA5" w:rsidRPr="00C245E3" w:rsidRDefault="28E041FE" w:rsidP="00C245E3">
      <w:pPr>
        <w:spacing w:line="240" w:lineRule="atLeast"/>
        <w:rPr>
          <w:rFonts w:ascii="Verdana" w:eastAsia="Verdana" w:hAnsi="Verdana" w:cs="Verdana"/>
          <w:i/>
          <w:iCs/>
          <w:sz w:val="18"/>
          <w:szCs w:val="18"/>
        </w:rPr>
      </w:pPr>
      <w:r w:rsidRPr="00C245E3">
        <w:rPr>
          <w:rFonts w:ascii="Verdana" w:hAnsi="Verdana"/>
          <w:i/>
          <w:sz w:val="18"/>
          <w:szCs w:val="18"/>
        </w:rPr>
        <w:lastRenderedPageBreak/>
        <w:t>1.2 Sustainable Development Goals</w:t>
      </w:r>
      <w:r w:rsidR="001467B0" w:rsidRPr="00C245E3">
        <w:rPr>
          <w:rStyle w:val="Voetnootmarkering"/>
          <w:rFonts w:ascii="Verdana" w:hAnsi="Verdana"/>
          <w:sz w:val="18"/>
          <w:szCs w:val="18"/>
        </w:rPr>
        <w:footnoteReference w:id="6"/>
      </w:r>
    </w:p>
    <w:p w14:paraId="0CD422BD" w14:textId="77777777" w:rsidR="00254CBE" w:rsidRPr="00C245E3" w:rsidRDefault="283477C2" w:rsidP="00C245E3">
      <w:pPr>
        <w:spacing w:line="240" w:lineRule="atLeast"/>
        <w:rPr>
          <w:rFonts w:ascii="Verdana" w:hAnsi="Verdana"/>
          <w:sz w:val="18"/>
          <w:szCs w:val="18"/>
        </w:rPr>
      </w:pPr>
      <w:r w:rsidRPr="00C245E3">
        <w:rPr>
          <w:rFonts w:ascii="Verdana" w:hAnsi="Verdana"/>
          <w:sz w:val="18"/>
          <w:szCs w:val="18"/>
        </w:rPr>
        <w:t xml:space="preserve">Partnerships focusing on food security can contribute directly to the achievement of SDG 2, by improving sustainable agriculture, soil management and food quality, giving farmers economic support and developing futureproof food systems. </w:t>
      </w:r>
    </w:p>
    <w:p w14:paraId="1B9786A2" w14:textId="77777777" w:rsidR="00A41F6E" w:rsidRPr="00C245E3" w:rsidRDefault="283477C2" w:rsidP="00C245E3">
      <w:pPr>
        <w:spacing w:line="240" w:lineRule="atLeast"/>
        <w:rPr>
          <w:rFonts w:ascii="Verdana" w:hAnsi="Verdana"/>
          <w:sz w:val="18"/>
          <w:szCs w:val="18"/>
        </w:rPr>
      </w:pPr>
      <w:r w:rsidRPr="00C245E3">
        <w:rPr>
          <w:rFonts w:ascii="Verdana" w:hAnsi="Verdana"/>
          <w:sz w:val="18"/>
          <w:szCs w:val="18"/>
        </w:rPr>
        <w:t>Interventions aimed at water security and flood safety are aligned with SDG 6, providing access to clean and sufficient drinking water, improving sanitation, promoting sustainable water use, improving water facilities and making communities more resilient to water shortages and flooding. Projects under the grant programme will also contribute significantly towards SDG 8, since a PPP can bring about lasting, inclusive, sustainable economic growth and decent work for all. Finally, SDG 17 is also relevant, as the partnerships promote international cooperation as a driver for all the SDGs.</w:t>
      </w:r>
    </w:p>
    <w:p w14:paraId="79369168" w14:textId="4F8186A1" w:rsidR="3D28939B" w:rsidRPr="00C245E3" w:rsidRDefault="283477C2" w:rsidP="00C245E3">
      <w:pPr>
        <w:spacing w:line="240" w:lineRule="atLeast"/>
        <w:rPr>
          <w:rFonts w:ascii="Verdana" w:hAnsi="Verdana"/>
          <w:sz w:val="18"/>
          <w:szCs w:val="18"/>
        </w:rPr>
      </w:pPr>
      <w:r w:rsidRPr="00C245E3">
        <w:rPr>
          <w:rFonts w:ascii="Verdana" w:hAnsi="Verdana"/>
          <w:sz w:val="18"/>
          <w:szCs w:val="18"/>
        </w:rPr>
        <w:t>The grant programme contributes directly to the achievement of SDGs 2, 6 and 8. By promoting climate-resilient agriculture and sustainable water management</w:t>
      </w:r>
      <w:r w:rsidR="00DB1DDC" w:rsidRPr="00C245E3">
        <w:rPr>
          <w:rStyle w:val="Voetnootmarkering"/>
          <w:rFonts w:ascii="Verdana" w:hAnsi="Verdana"/>
          <w:sz w:val="18"/>
          <w:szCs w:val="18"/>
        </w:rPr>
        <w:footnoteReference w:id="7"/>
      </w:r>
      <w:r w:rsidR="003B424B" w:rsidRPr="00C245E3">
        <w:rPr>
          <w:rFonts w:ascii="Verdana" w:hAnsi="Verdana"/>
          <w:sz w:val="18"/>
          <w:szCs w:val="18"/>
        </w:rPr>
        <w:t>,</w:t>
      </w:r>
      <w:r w:rsidRPr="00C245E3">
        <w:rPr>
          <w:rFonts w:ascii="Verdana" w:hAnsi="Verdana"/>
          <w:sz w:val="18"/>
          <w:szCs w:val="18"/>
        </w:rPr>
        <w:t xml:space="preserve"> and strengthening the resilience of local communities to the consequences of climate change, the programme also contributes towards SDG 13. Biodiversity and ecosystems (SDGs 14 and 15) are addressed by fostering, for instance, agroforestry, nature-based solutions and integrated pest management and observing the principles of a basic quality framework for nature. Finally, gender equality (SDG 5) can be enhanced through strategies that promote equal access to resources, training and markets in relation to all the goals.</w:t>
      </w:r>
    </w:p>
    <w:p w14:paraId="3D752CCE" w14:textId="77777777" w:rsidR="00D4234D" w:rsidRPr="00C245E3" w:rsidRDefault="00D4234D" w:rsidP="00C245E3">
      <w:pPr>
        <w:spacing w:line="240" w:lineRule="atLeast"/>
        <w:rPr>
          <w:rFonts w:ascii="Verdana" w:hAnsi="Verdana"/>
          <w:i/>
          <w:iCs/>
          <w:sz w:val="18"/>
          <w:szCs w:val="18"/>
        </w:rPr>
      </w:pPr>
    </w:p>
    <w:p w14:paraId="5344B593"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2. Implementing organisation</w:t>
      </w:r>
    </w:p>
    <w:p w14:paraId="498A1865"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The Minister has mandated the Netherlands Enterprise Agency (RVO), an agency of the Ministry of Economic Affairs, to implement this grant programme.</w:t>
      </w:r>
    </w:p>
    <w:p w14:paraId="51D6AD69" w14:textId="77777777" w:rsidR="00DE6914" w:rsidRPr="00C245E3" w:rsidRDefault="00DE6914" w:rsidP="00C245E3">
      <w:pPr>
        <w:spacing w:line="240" w:lineRule="atLeast"/>
        <w:rPr>
          <w:rFonts w:ascii="Verdana" w:hAnsi="Verdana"/>
          <w:b/>
          <w:bCs/>
          <w:sz w:val="18"/>
          <w:szCs w:val="18"/>
        </w:rPr>
      </w:pPr>
      <w:bookmarkStart w:id="2" w:name="_Hlk208505344"/>
    </w:p>
    <w:p w14:paraId="33C7835D"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3. Definitions</w:t>
      </w:r>
    </w:p>
    <w:p w14:paraId="1F2F3EFF" w14:textId="77777777" w:rsidR="005448E4" w:rsidRPr="00C245E3" w:rsidRDefault="283477C2" w:rsidP="00C245E3">
      <w:pPr>
        <w:spacing w:line="240" w:lineRule="atLeast"/>
        <w:rPr>
          <w:rFonts w:ascii="Verdana" w:hAnsi="Verdana"/>
          <w:sz w:val="18"/>
          <w:szCs w:val="18"/>
        </w:rPr>
      </w:pPr>
      <w:r w:rsidRPr="00C245E3">
        <w:rPr>
          <w:rFonts w:ascii="Verdana" w:hAnsi="Verdana"/>
          <w:sz w:val="18"/>
          <w:szCs w:val="18"/>
        </w:rPr>
        <w:t>The following definitions are used in the grant programme:</w:t>
      </w:r>
    </w:p>
    <w:p w14:paraId="72907DAC" w14:textId="77777777" w:rsidR="005448E4"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Trade association</w:t>
      </w:r>
      <w:r w:rsidRPr="00C245E3">
        <w:rPr>
          <w:rFonts w:ascii="Verdana" w:hAnsi="Verdana"/>
          <w:sz w:val="18"/>
          <w:szCs w:val="18"/>
        </w:rPr>
        <w:t>: a foundation or association which, pursuant to its constitution, represents the interests of its members, consisting of businesses belonging to the same sector;</w:t>
      </w:r>
    </w:p>
    <w:p w14:paraId="2C3222CD" w14:textId="77777777" w:rsidR="00E17AA0" w:rsidRPr="00C245E3" w:rsidRDefault="00E17AA0" w:rsidP="00C245E3">
      <w:pPr>
        <w:pStyle w:val="Lijstalinea"/>
        <w:numPr>
          <w:ilvl w:val="0"/>
          <w:numId w:val="10"/>
        </w:numPr>
        <w:spacing w:line="240" w:lineRule="atLeast"/>
        <w:rPr>
          <w:rFonts w:ascii="Verdana" w:hAnsi="Verdana" w:cs="Arial"/>
          <w:sz w:val="18"/>
          <w:szCs w:val="18"/>
        </w:rPr>
      </w:pPr>
      <w:r w:rsidRPr="00C245E3">
        <w:rPr>
          <w:rFonts w:ascii="Verdana" w:hAnsi="Verdana"/>
          <w:i/>
          <w:iCs/>
          <w:sz w:val="18"/>
          <w:szCs w:val="18"/>
        </w:rPr>
        <w:t>Business case:</w:t>
      </w:r>
      <w:r w:rsidRPr="00C245E3">
        <w:rPr>
          <w:rFonts w:ascii="Verdana" w:hAnsi="Verdana"/>
          <w:iCs/>
          <w:sz w:val="18"/>
          <w:szCs w:val="18"/>
        </w:rPr>
        <w:t xml:space="preserve"> a project analysis describing the project goal (what will the project tackle or solve), a market analysis identifying threats and opportunities (feasibility), the project’s costs and benefits, the risks and measures to mitigate these risks, and what effects the project will have and in which areas;</w:t>
      </w:r>
    </w:p>
    <w:p w14:paraId="1A6DDAEE" w14:textId="77777777" w:rsidR="005448E4"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Economic activity</w:t>
      </w:r>
      <w:r w:rsidRPr="00C245E3">
        <w:rPr>
          <w:rFonts w:ascii="Verdana" w:hAnsi="Verdana"/>
          <w:sz w:val="18"/>
          <w:szCs w:val="18"/>
        </w:rPr>
        <w:t>: any activity in which goods or services are offered on a market;</w:t>
      </w:r>
    </w:p>
    <w:p w14:paraId="0374A8BE" w14:textId="77777777" w:rsidR="005F6DBD"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Knowledge institution</w:t>
      </w:r>
      <w:r w:rsidRPr="00C245E3">
        <w:rPr>
          <w:rFonts w:ascii="Verdana" w:hAnsi="Verdana"/>
          <w:sz w:val="18"/>
          <w:szCs w:val="18"/>
        </w:rPr>
        <w:t>: an educational or research institution that contributes to knowledge exchange. To qualify as a knowledge institution, an organisation’s core tasks must be independent research and knowledge transfer, regardless of whether it also carries out economic activities or is a public body;</w:t>
      </w:r>
    </w:p>
    <w:p w14:paraId="2D7A310E" w14:textId="77777777" w:rsidR="008C12AD"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Local civil society organisation</w:t>
      </w:r>
      <w:r w:rsidRPr="00C245E3">
        <w:rPr>
          <w:rFonts w:ascii="Verdana" w:hAnsi="Verdana"/>
          <w:sz w:val="18"/>
          <w:szCs w:val="18"/>
        </w:rPr>
        <w:t xml:space="preserve">: a civil society organisation that has its registered office in a partner country and possesses legal personality under the law of that country; </w:t>
      </w:r>
    </w:p>
    <w:p w14:paraId="43B8AA1F" w14:textId="77777777" w:rsidR="005F6DBD"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Local business</w:t>
      </w:r>
      <w:r w:rsidRPr="00C245E3">
        <w:rPr>
          <w:rFonts w:ascii="Verdana" w:hAnsi="Verdana"/>
          <w:sz w:val="18"/>
          <w:szCs w:val="18"/>
        </w:rPr>
        <w:t>: a business that possesses legal personality under private law in the partner country, where it has its registered office and where the activities for which grant funding is sought will be carried out;</w:t>
      </w:r>
    </w:p>
    <w:p w14:paraId="1E633E68" w14:textId="77777777" w:rsidR="005E45AB"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Local public body</w:t>
      </w:r>
      <w:r w:rsidRPr="00C245E3">
        <w:rPr>
          <w:rFonts w:ascii="Verdana" w:hAnsi="Verdana"/>
          <w:sz w:val="18"/>
          <w:szCs w:val="18"/>
        </w:rPr>
        <w:t>: a government organisation in the partner country that carries out certain statutory tasks or serves the public interest;</w:t>
      </w:r>
    </w:p>
    <w:p w14:paraId="605DD8C5" w14:textId="77777777" w:rsidR="005448E4"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Civil society organisation</w:t>
      </w:r>
      <w:r w:rsidRPr="00C245E3">
        <w:rPr>
          <w:rFonts w:ascii="Verdana" w:hAnsi="Verdana"/>
          <w:sz w:val="18"/>
          <w:szCs w:val="18"/>
        </w:rPr>
        <w:t xml:space="preserve">: a non-profit organisation that is not connected to a government organisation either de facto or under its constitution, which serves a public interest and possesses legal personality under private law in the country of its registration, and is registered </w:t>
      </w:r>
      <w:r w:rsidRPr="00C245E3">
        <w:rPr>
          <w:rFonts w:ascii="Verdana" w:hAnsi="Verdana"/>
          <w:sz w:val="18"/>
          <w:szCs w:val="18"/>
        </w:rPr>
        <w:lastRenderedPageBreak/>
        <w:t>as such. It must not have been established by a government organisation or it must have become fully autonomous from the government organisation that established it;</w:t>
      </w:r>
    </w:p>
    <w:p w14:paraId="0B51F83A" w14:textId="77777777" w:rsidR="005448E4"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Minister</w:t>
      </w:r>
      <w:r w:rsidRPr="00C245E3">
        <w:rPr>
          <w:rFonts w:ascii="Verdana" w:hAnsi="Verdana"/>
          <w:sz w:val="18"/>
          <w:szCs w:val="18"/>
        </w:rPr>
        <w:t>: the Minister of Foreign Trade and Development Cooperation;</w:t>
      </w:r>
    </w:p>
    <w:p w14:paraId="62AC89CE" w14:textId="733A2368" w:rsidR="00862302" w:rsidRPr="00C245E3" w:rsidRDefault="0086230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OECD Guidelines for Multinational Enterprises:</w:t>
      </w:r>
      <w:r w:rsidRPr="00C245E3">
        <w:rPr>
          <w:rStyle w:val="Voetnootmarkering"/>
          <w:rFonts w:ascii="Verdana" w:hAnsi="Verdana"/>
          <w:sz w:val="18"/>
          <w:szCs w:val="18"/>
        </w:rPr>
        <w:footnoteReference w:id="8"/>
      </w:r>
      <w:r w:rsidRPr="00C245E3">
        <w:rPr>
          <w:rFonts w:ascii="Verdana" w:hAnsi="Verdana"/>
          <w:sz w:val="18"/>
          <w:szCs w:val="18"/>
        </w:rPr>
        <w:t xml:space="preserve"> general principles for international business that are an important starting point for the Dutch government’s policy</w:t>
      </w:r>
      <w:r w:rsidR="00CC2A97" w:rsidRPr="00C245E3">
        <w:rPr>
          <w:rFonts w:ascii="Verdana" w:hAnsi="Verdana"/>
          <w:sz w:val="18"/>
          <w:szCs w:val="18"/>
        </w:rPr>
        <w:t xml:space="preserve"> on responsible business conduct (RBC)</w:t>
      </w:r>
      <w:r w:rsidRPr="00C245E3">
        <w:rPr>
          <w:rFonts w:ascii="Verdana" w:hAnsi="Verdana"/>
          <w:sz w:val="18"/>
          <w:szCs w:val="18"/>
        </w:rPr>
        <w:t>. The main thrust of these Guidelines is that businesses should comply with the rules of the countries where they operate and should exercise responsibility with regard to their value chain. The Guidelines contain recommendations for businesses on issues like value chain responsibility, human rights, child labour, environmental responsibility and corruption. These and other concepts are defined and elaborated further in the Guidelines;</w:t>
      </w:r>
    </w:p>
    <w:p w14:paraId="102FA1A5" w14:textId="77777777" w:rsidR="00862302" w:rsidRPr="00C245E3" w:rsidRDefault="00862302" w:rsidP="00C245E3">
      <w:pPr>
        <w:pStyle w:val="Lijstalinea"/>
        <w:numPr>
          <w:ilvl w:val="0"/>
          <w:numId w:val="1"/>
        </w:numPr>
        <w:spacing w:line="240" w:lineRule="atLeast"/>
        <w:rPr>
          <w:rFonts w:ascii="Verdana" w:hAnsi="Verdana"/>
          <w:sz w:val="18"/>
          <w:szCs w:val="18"/>
        </w:rPr>
      </w:pPr>
      <w:r w:rsidRPr="00C245E3">
        <w:rPr>
          <w:rFonts w:ascii="Verdana" w:hAnsi="Verdana"/>
          <w:i/>
          <w:iCs/>
          <w:sz w:val="18"/>
          <w:szCs w:val="18"/>
        </w:rPr>
        <w:t>Business</w:t>
      </w:r>
      <w:r w:rsidRPr="00C245E3">
        <w:rPr>
          <w:rFonts w:ascii="Verdana" w:hAnsi="Verdana"/>
          <w:sz w:val="18"/>
          <w:szCs w:val="18"/>
        </w:rPr>
        <w:t>: a legal person carrying out economic activities, which is not a trade association, knowledge institution or civil society organisation;</w:t>
      </w:r>
    </w:p>
    <w:p w14:paraId="0E58E972" w14:textId="77777777" w:rsidR="0092557B" w:rsidRPr="00C245E3" w:rsidRDefault="0092557B" w:rsidP="00C245E3">
      <w:pPr>
        <w:pStyle w:val="Lijstalinea"/>
        <w:numPr>
          <w:ilvl w:val="0"/>
          <w:numId w:val="10"/>
        </w:numPr>
        <w:spacing w:line="240" w:lineRule="atLeast"/>
        <w:rPr>
          <w:rFonts w:ascii="Verdana" w:hAnsi="Verdana"/>
          <w:sz w:val="18"/>
          <w:szCs w:val="18"/>
        </w:rPr>
      </w:pPr>
      <w:r w:rsidRPr="00C245E3">
        <w:rPr>
          <w:rFonts w:ascii="Verdana" w:hAnsi="Verdana"/>
          <w:i/>
          <w:sz w:val="18"/>
          <w:szCs w:val="18"/>
        </w:rPr>
        <w:t xml:space="preserve">Partner country: </w:t>
      </w:r>
      <w:r w:rsidRPr="00C245E3">
        <w:rPr>
          <w:rFonts w:ascii="Verdana" w:hAnsi="Verdana"/>
          <w:sz w:val="18"/>
          <w:szCs w:val="18"/>
        </w:rPr>
        <w:t>a country that appears on the list of countries in appendix 1 of these administrative rules, where the activities for which grant funding is sought will take place;</w:t>
      </w:r>
    </w:p>
    <w:p w14:paraId="04007E3A" w14:textId="77777777" w:rsidR="00F461D9" w:rsidRPr="00C245E3" w:rsidRDefault="283477C2" w:rsidP="00C245E3">
      <w:pPr>
        <w:pStyle w:val="Lijstalinea"/>
        <w:numPr>
          <w:ilvl w:val="0"/>
          <w:numId w:val="10"/>
        </w:numPr>
        <w:spacing w:line="240" w:lineRule="atLeast"/>
        <w:rPr>
          <w:rFonts w:ascii="Verdana" w:hAnsi="Verdana"/>
          <w:sz w:val="18"/>
          <w:szCs w:val="18"/>
        </w:rPr>
      </w:pPr>
      <w:r w:rsidRPr="00C245E3">
        <w:rPr>
          <w:rFonts w:ascii="Verdana" w:hAnsi="Verdana"/>
          <w:i/>
          <w:iCs/>
          <w:sz w:val="18"/>
          <w:szCs w:val="18"/>
        </w:rPr>
        <w:t>Partnership</w:t>
      </w:r>
      <w:r w:rsidRPr="00C245E3">
        <w:rPr>
          <w:rFonts w:ascii="Verdana" w:hAnsi="Verdana"/>
          <w:sz w:val="18"/>
          <w:szCs w:val="18"/>
        </w:rPr>
        <w:t>: a contractual collaboration without legal personality whose partners each have legal personality, that is aimed at achieving common objectives by carrying out activities, such that each partner delivers part of the necessary input and bears part of the accompanying risks;</w:t>
      </w:r>
    </w:p>
    <w:p w14:paraId="2E52A699" w14:textId="77777777" w:rsidR="00343883" w:rsidRPr="00C245E3" w:rsidRDefault="283477C2" w:rsidP="00C245E3">
      <w:pPr>
        <w:pStyle w:val="Lijstalinea"/>
        <w:numPr>
          <w:ilvl w:val="0"/>
          <w:numId w:val="10"/>
        </w:numPr>
        <w:spacing w:line="240" w:lineRule="atLeast"/>
        <w:rPr>
          <w:rFonts w:ascii="Verdana" w:eastAsiaTheme="minorEastAsia" w:hAnsi="Verdana" w:cs="Arial"/>
          <w:sz w:val="18"/>
          <w:szCs w:val="18"/>
        </w:rPr>
      </w:pPr>
      <w:r w:rsidRPr="00C245E3">
        <w:rPr>
          <w:rFonts w:ascii="Verdana" w:hAnsi="Verdana"/>
          <w:i/>
          <w:iCs/>
          <w:sz w:val="18"/>
          <w:szCs w:val="18"/>
        </w:rPr>
        <w:t>Lead party:</w:t>
      </w:r>
      <w:r w:rsidRPr="00C245E3">
        <w:rPr>
          <w:rFonts w:ascii="Verdana" w:hAnsi="Verdana"/>
          <w:sz w:val="18"/>
          <w:szCs w:val="18"/>
        </w:rPr>
        <w:t xml:space="preserve"> member of the partnership that applies for the grant on behalf of the partnership. If the application is approved, the lead party is the legal grant recipient (the other partners are grant recipients in an economic sense) and as such is fully accountable and responsible towards the Minister for implementation of the grant-funded activities and compliance with the obligations in respect of the grant;</w:t>
      </w:r>
    </w:p>
    <w:p w14:paraId="245E550E" w14:textId="35F25FD1" w:rsidR="00FE18A8" w:rsidRPr="00C245E3" w:rsidRDefault="00FE18A8" w:rsidP="00C245E3">
      <w:pPr>
        <w:pStyle w:val="Lijstalinea"/>
        <w:numPr>
          <w:ilvl w:val="0"/>
          <w:numId w:val="10"/>
        </w:numPr>
        <w:spacing w:line="240" w:lineRule="atLeast"/>
        <w:rPr>
          <w:rFonts w:ascii="Verdana" w:eastAsiaTheme="minorEastAsia" w:hAnsi="Verdana" w:cs="Arial"/>
          <w:sz w:val="18"/>
          <w:szCs w:val="18"/>
        </w:rPr>
      </w:pPr>
      <w:r w:rsidRPr="00C245E3">
        <w:rPr>
          <w:rFonts w:ascii="Verdana" w:hAnsi="Verdana"/>
          <w:i/>
          <w:iCs/>
          <w:sz w:val="18"/>
          <w:szCs w:val="18"/>
        </w:rPr>
        <w:t>Sector change</w:t>
      </w:r>
      <w:r w:rsidRPr="00C245E3">
        <w:rPr>
          <w:rFonts w:ascii="Verdana" w:hAnsi="Verdana"/>
          <w:sz w:val="18"/>
          <w:szCs w:val="18"/>
        </w:rPr>
        <w:t xml:space="preserve">: a process in which different parties work together to bring about a transition within a sector. This transition, taking place in collaboration with the relevant actors in a partner country, can relate to legislation including rules on import and export, education and awareness-raising, financial institutions, or those elements of an enabling environment that have a bearing on progress. </w:t>
      </w:r>
    </w:p>
    <w:bookmarkEnd w:id="2"/>
    <w:p w14:paraId="51F1CD41" w14:textId="77777777" w:rsidR="00D55DEC" w:rsidRPr="00C245E3" w:rsidRDefault="00D55DEC" w:rsidP="00C245E3">
      <w:pPr>
        <w:pStyle w:val="Lijstalinea"/>
        <w:spacing w:line="240" w:lineRule="atLeast"/>
        <w:ind w:left="360"/>
        <w:rPr>
          <w:rFonts w:ascii="Verdana" w:hAnsi="Verdana"/>
          <w:b/>
          <w:bCs/>
          <w:sz w:val="18"/>
          <w:szCs w:val="18"/>
        </w:rPr>
      </w:pPr>
    </w:p>
    <w:p w14:paraId="445C2848" w14:textId="77777777" w:rsidR="00002EDC" w:rsidRPr="00C245E3" w:rsidRDefault="283477C2" w:rsidP="00C245E3">
      <w:pPr>
        <w:spacing w:line="240" w:lineRule="atLeast"/>
        <w:rPr>
          <w:rFonts w:ascii="Verdana" w:hAnsi="Verdana"/>
          <w:b/>
          <w:bCs/>
          <w:sz w:val="18"/>
          <w:szCs w:val="18"/>
        </w:rPr>
      </w:pPr>
      <w:r w:rsidRPr="00C245E3">
        <w:rPr>
          <w:rFonts w:ascii="Verdana" w:hAnsi="Verdana"/>
          <w:b/>
          <w:sz w:val="18"/>
          <w:szCs w:val="18"/>
        </w:rPr>
        <w:t xml:space="preserve">4. </w:t>
      </w:r>
      <w:r w:rsidRPr="00C245E3">
        <w:rPr>
          <w:rFonts w:ascii="Verdana" w:hAnsi="Verdana"/>
          <w:b/>
          <w:bCs/>
          <w:sz w:val="18"/>
          <w:szCs w:val="18"/>
        </w:rPr>
        <w:t>Dutch Diamonds Partnerships Grant Programme</w:t>
      </w:r>
    </w:p>
    <w:p w14:paraId="1E821AB0" w14:textId="77777777" w:rsidR="00002EDC" w:rsidRPr="00C245E3" w:rsidRDefault="00002EDC" w:rsidP="00C245E3">
      <w:pPr>
        <w:spacing w:line="240" w:lineRule="atLeast"/>
        <w:rPr>
          <w:rFonts w:ascii="Verdana" w:hAnsi="Verdana"/>
          <w:b/>
          <w:bCs/>
          <w:sz w:val="18"/>
          <w:szCs w:val="18"/>
        </w:rPr>
      </w:pPr>
    </w:p>
    <w:p w14:paraId="0046A530" w14:textId="77777777" w:rsidR="007901DD" w:rsidRPr="00C245E3" w:rsidRDefault="007901DD" w:rsidP="00C245E3">
      <w:pPr>
        <w:spacing w:line="240" w:lineRule="atLeast"/>
        <w:rPr>
          <w:rFonts w:ascii="Verdana" w:hAnsi="Verdana"/>
          <w:b/>
          <w:bCs/>
          <w:sz w:val="18"/>
          <w:szCs w:val="18"/>
        </w:rPr>
      </w:pPr>
      <w:r w:rsidRPr="00C245E3">
        <w:rPr>
          <w:rFonts w:ascii="Verdana" w:hAnsi="Verdana"/>
          <w:i/>
          <w:sz w:val="18"/>
          <w:szCs w:val="18"/>
        </w:rPr>
        <w:t xml:space="preserve">4.1 Main goal and sub-goals </w:t>
      </w:r>
    </w:p>
    <w:p w14:paraId="5E67F0BE" w14:textId="77777777" w:rsidR="00D73D13" w:rsidRPr="00C245E3" w:rsidRDefault="00D73D13" w:rsidP="00C245E3">
      <w:pPr>
        <w:pStyle w:val="Geenafstand"/>
        <w:spacing w:after="160" w:line="240" w:lineRule="atLeast"/>
        <w:rPr>
          <w:rFonts w:ascii="Verdana" w:hAnsi="Verdana" w:cs="Arial"/>
          <w:i/>
          <w:sz w:val="18"/>
          <w:szCs w:val="18"/>
        </w:rPr>
      </w:pPr>
      <w:r w:rsidRPr="00C245E3">
        <w:rPr>
          <w:rFonts w:ascii="Verdana" w:hAnsi="Verdana"/>
          <w:i/>
          <w:sz w:val="18"/>
          <w:szCs w:val="18"/>
        </w:rPr>
        <w:t>Main goal:</w:t>
      </w:r>
    </w:p>
    <w:p w14:paraId="548B8B07" w14:textId="77777777" w:rsidR="000106BE" w:rsidRPr="00C245E3" w:rsidRDefault="00D55DEC" w:rsidP="00C245E3">
      <w:pPr>
        <w:pStyle w:val="Geenafstand"/>
        <w:spacing w:after="160" w:line="240" w:lineRule="atLeast"/>
        <w:rPr>
          <w:rFonts w:ascii="Verdana" w:hAnsi="Verdana"/>
          <w:sz w:val="18"/>
          <w:szCs w:val="18"/>
        </w:rPr>
      </w:pPr>
      <w:r w:rsidRPr="00C245E3">
        <w:rPr>
          <w:rFonts w:ascii="Verdana" w:hAnsi="Verdana"/>
          <w:sz w:val="18"/>
          <w:szCs w:val="18"/>
        </w:rPr>
        <w:t xml:space="preserve">The grant programme’s main goal is to strengthen – by means of equal partnerships – sustainable, climate-friendly sector change and market development in relation to water, food security and specific other sectors and value chains as referred to in appendix 1, in which the Netherlands has valuable knowledge and expertise. As a positive side effect, the grant programme may boost the Netherlands’ future earning capacity in the aforementioned themes, sectors and value chains. Climate change, gender and biodiversity are important cross-cutting themes. </w:t>
      </w:r>
    </w:p>
    <w:p w14:paraId="1ED98B7A" w14:textId="6838DF3A" w:rsidR="00D55DEC" w:rsidRPr="00C245E3" w:rsidRDefault="00D55DEC"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The main goal will be pursued by means of the three interconnected sub-goals, below, which stem from the grant programme’s theory of change (see appendix 2</w:t>
      </w:r>
      <w:r w:rsidR="009C0907" w:rsidRPr="00C245E3">
        <w:rPr>
          <w:rFonts w:ascii="Verdana" w:hAnsi="Verdana"/>
          <w:sz w:val="18"/>
          <w:szCs w:val="18"/>
        </w:rPr>
        <w:t xml:space="preserve"> of these administrative rules</w:t>
      </w:r>
      <w:r w:rsidRPr="00C245E3">
        <w:rPr>
          <w:rFonts w:ascii="Verdana" w:hAnsi="Verdana"/>
          <w:sz w:val="18"/>
          <w:szCs w:val="18"/>
        </w:rPr>
        <w:t>).</w:t>
      </w:r>
    </w:p>
    <w:p w14:paraId="1C7CC359" w14:textId="77777777" w:rsidR="00D40FCD" w:rsidRPr="00C245E3" w:rsidRDefault="00D73D13" w:rsidP="00C245E3">
      <w:pPr>
        <w:spacing w:line="240" w:lineRule="atLeast"/>
        <w:rPr>
          <w:rFonts w:ascii="Verdana" w:hAnsi="Verdana"/>
          <w:i/>
          <w:iCs/>
          <w:sz w:val="18"/>
          <w:szCs w:val="18"/>
        </w:rPr>
      </w:pPr>
      <w:r w:rsidRPr="00C245E3">
        <w:rPr>
          <w:rFonts w:ascii="Verdana" w:hAnsi="Verdana"/>
          <w:i/>
          <w:iCs/>
          <w:sz w:val="18"/>
          <w:szCs w:val="18"/>
        </w:rPr>
        <w:t>A theory of change (</w:t>
      </w:r>
      <w:proofErr w:type="spellStart"/>
      <w:r w:rsidRPr="00C245E3">
        <w:rPr>
          <w:rFonts w:ascii="Verdana" w:hAnsi="Verdana"/>
          <w:i/>
          <w:iCs/>
          <w:sz w:val="18"/>
          <w:szCs w:val="18"/>
        </w:rPr>
        <w:t>ToC</w:t>
      </w:r>
      <w:proofErr w:type="spellEnd"/>
      <w:r w:rsidRPr="00C245E3">
        <w:rPr>
          <w:rFonts w:ascii="Verdana" w:hAnsi="Verdana"/>
          <w:i/>
          <w:iCs/>
          <w:sz w:val="18"/>
          <w:szCs w:val="18"/>
        </w:rPr>
        <w:t xml:space="preserve">) describes in detail how and why a certain intervention, in this case a project, is likely to produce the desired outcome (change). A theory of change is made up of the following key elements: </w:t>
      </w:r>
    </w:p>
    <w:p w14:paraId="795EE467" w14:textId="77777777" w:rsidR="00D40FCD" w:rsidRPr="00C245E3" w:rsidRDefault="00D40FCD" w:rsidP="00C245E3">
      <w:pPr>
        <w:pStyle w:val="Lijstalinea"/>
        <w:numPr>
          <w:ilvl w:val="0"/>
          <w:numId w:val="10"/>
        </w:numPr>
        <w:spacing w:line="240" w:lineRule="atLeast"/>
        <w:rPr>
          <w:rFonts w:ascii="Verdana" w:hAnsi="Verdana"/>
          <w:i/>
          <w:iCs/>
          <w:sz w:val="18"/>
          <w:szCs w:val="18"/>
        </w:rPr>
      </w:pPr>
      <w:r w:rsidRPr="00C245E3">
        <w:rPr>
          <w:rFonts w:ascii="Verdana" w:hAnsi="Verdana"/>
          <w:i/>
          <w:iCs/>
          <w:sz w:val="18"/>
          <w:szCs w:val="18"/>
        </w:rPr>
        <w:t xml:space="preserve">Impact/ long-term goal: the change the programme ultimately aims to bring about in society (e.g. less poverty, greater food security); </w:t>
      </w:r>
    </w:p>
    <w:p w14:paraId="486D30AA" w14:textId="77777777" w:rsidR="00D40FCD" w:rsidRPr="00C245E3" w:rsidRDefault="00D40FCD" w:rsidP="00C245E3">
      <w:pPr>
        <w:pStyle w:val="Lijstalinea"/>
        <w:numPr>
          <w:ilvl w:val="0"/>
          <w:numId w:val="10"/>
        </w:numPr>
        <w:spacing w:line="240" w:lineRule="atLeast"/>
        <w:rPr>
          <w:rFonts w:ascii="Verdana" w:hAnsi="Verdana"/>
          <w:i/>
          <w:iCs/>
          <w:sz w:val="18"/>
          <w:szCs w:val="18"/>
        </w:rPr>
      </w:pPr>
      <w:r w:rsidRPr="00C245E3">
        <w:rPr>
          <w:rFonts w:ascii="Verdana" w:hAnsi="Verdana"/>
          <w:i/>
          <w:iCs/>
          <w:sz w:val="18"/>
          <w:szCs w:val="18"/>
        </w:rPr>
        <w:t xml:space="preserve">Outcomes: systemic or behaviour changes in the target groups or institutions (e.g. farmers adopting climate-smart techniques); </w:t>
      </w:r>
    </w:p>
    <w:p w14:paraId="1FF0BD4E" w14:textId="77777777" w:rsidR="00D40FCD" w:rsidRPr="00C245E3" w:rsidRDefault="00D40FCD" w:rsidP="00C245E3">
      <w:pPr>
        <w:pStyle w:val="Lijstalinea"/>
        <w:numPr>
          <w:ilvl w:val="0"/>
          <w:numId w:val="10"/>
        </w:numPr>
        <w:spacing w:line="240" w:lineRule="atLeast"/>
        <w:rPr>
          <w:rFonts w:ascii="Verdana" w:hAnsi="Verdana"/>
          <w:i/>
          <w:iCs/>
          <w:sz w:val="18"/>
          <w:szCs w:val="18"/>
        </w:rPr>
      </w:pPr>
      <w:r w:rsidRPr="00C245E3">
        <w:rPr>
          <w:rFonts w:ascii="Verdana" w:hAnsi="Verdana"/>
          <w:i/>
          <w:iCs/>
          <w:sz w:val="18"/>
          <w:szCs w:val="18"/>
        </w:rPr>
        <w:t xml:space="preserve">Outputs: the directs results of an activity (e.g. number of farmers that have received training, number of irrigation systems installed); </w:t>
      </w:r>
    </w:p>
    <w:p w14:paraId="719B211D" w14:textId="77777777" w:rsidR="00D40FCD" w:rsidRPr="00C245E3" w:rsidRDefault="00D40FCD" w:rsidP="00C245E3">
      <w:pPr>
        <w:pStyle w:val="Lijstalinea"/>
        <w:numPr>
          <w:ilvl w:val="0"/>
          <w:numId w:val="10"/>
        </w:numPr>
        <w:spacing w:line="240" w:lineRule="atLeast"/>
        <w:rPr>
          <w:rFonts w:ascii="Verdana" w:hAnsi="Verdana"/>
          <w:i/>
          <w:iCs/>
          <w:sz w:val="18"/>
          <w:szCs w:val="18"/>
        </w:rPr>
      </w:pPr>
      <w:r w:rsidRPr="00C245E3">
        <w:rPr>
          <w:rFonts w:ascii="Verdana" w:hAnsi="Verdana"/>
          <w:i/>
          <w:iCs/>
          <w:sz w:val="18"/>
          <w:szCs w:val="18"/>
        </w:rPr>
        <w:lastRenderedPageBreak/>
        <w:t xml:space="preserve">Activities and inputs: the proposed intervention in concrete terms (resources, personnel, budget); </w:t>
      </w:r>
    </w:p>
    <w:p w14:paraId="6752562F" w14:textId="77777777" w:rsidR="00D40FCD" w:rsidRPr="00C245E3" w:rsidRDefault="00D40FCD" w:rsidP="00C245E3">
      <w:pPr>
        <w:pStyle w:val="Lijstalinea"/>
        <w:numPr>
          <w:ilvl w:val="0"/>
          <w:numId w:val="10"/>
        </w:numPr>
        <w:spacing w:line="240" w:lineRule="atLeast"/>
        <w:rPr>
          <w:rFonts w:ascii="Verdana" w:hAnsi="Verdana"/>
          <w:i/>
          <w:iCs/>
          <w:sz w:val="18"/>
          <w:szCs w:val="18"/>
        </w:rPr>
      </w:pPr>
      <w:r w:rsidRPr="00C245E3">
        <w:rPr>
          <w:rFonts w:ascii="Verdana" w:hAnsi="Verdana"/>
          <w:i/>
          <w:iCs/>
          <w:sz w:val="18"/>
          <w:szCs w:val="18"/>
        </w:rPr>
        <w:t xml:space="preserve">Assumptions: necessary conditions for the project’s success and that are believed to already exist (e.g. political stability, partners’ involvement); </w:t>
      </w:r>
    </w:p>
    <w:p w14:paraId="5CC144A1" w14:textId="77777777" w:rsidR="00D40FCD" w:rsidRPr="00C245E3" w:rsidRDefault="00D40FCD" w:rsidP="00C245E3">
      <w:pPr>
        <w:pStyle w:val="Lijstalinea"/>
        <w:numPr>
          <w:ilvl w:val="0"/>
          <w:numId w:val="10"/>
        </w:numPr>
        <w:spacing w:line="240" w:lineRule="atLeast"/>
        <w:rPr>
          <w:rFonts w:ascii="Verdana" w:hAnsi="Verdana"/>
          <w:i/>
          <w:iCs/>
          <w:sz w:val="18"/>
          <w:szCs w:val="18"/>
        </w:rPr>
      </w:pPr>
      <w:r w:rsidRPr="00C245E3">
        <w:rPr>
          <w:rFonts w:ascii="Verdana" w:hAnsi="Verdana"/>
          <w:i/>
          <w:iCs/>
          <w:sz w:val="18"/>
          <w:szCs w:val="18"/>
        </w:rPr>
        <w:t xml:space="preserve">Chain of causality/ reasoning: if these activities are carried out and the assumptions are correct, then these outputs will occur, which will lead to these outcomes and to the intended long-term goal. </w:t>
      </w:r>
    </w:p>
    <w:p w14:paraId="7D72C27B" w14:textId="77777777" w:rsidR="00D40FCD" w:rsidRPr="00C245E3" w:rsidRDefault="00D40FCD" w:rsidP="00C245E3">
      <w:pPr>
        <w:spacing w:line="240" w:lineRule="atLeast"/>
        <w:rPr>
          <w:rFonts w:ascii="Verdana" w:hAnsi="Verdana"/>
          <w:i/>
          <w:iCs/>
          <w:sz w:val="18"/>
          <w:szCs w:val="18"/>
        </w:rPr>
      </w:pPr>
      <w:r w:rsidRPr="00C245E3">
        <w:rPr>
          <w:rFonts w:ascii="Verdana" w:hAnsi="Verdana"/>
          <w:i/>
          <w:iCs/>
          <w:sz w:val="18"/>
          <w:szCs w:val="18"/>
        </w:rPr>
        <w:t>In other words, a theory of change is both a theoretical framework to design interventions and a schematic visualisation or narrative description of the chain of causality and assumptions, to be used as a basis for monitoring, evaluation and making adjustments.</w:t>
      </w:r>
    </w:p>
    <w:p w14:paraId="369BDB66" w14:textId="77777777" w:rsidR="00D40FCD" w:rsidRPr="00C245E3" w:rsidRDefault="00D40FCD" w:rsidP="00C245E3">
      <w:pPr>
        <w:spacing w:line="240" w:lineRule="atLeast"/>
        <w:rPr>
          <w:rFonts w:ascii="Verdana" w:hAnsi="Verdana"/>
          <w:sz w:val="18"/>
          <w:szCs w:val="18"/>
        </w:rPr>
      </w:pPr>
    </w:p>
    <w:p w14:paraId="143CB57E" w14:textId="77777777" w:rsidR="00D73D13" w:rsidRPr="00C245E3" w:rsidRDefault="00D73D13" w:rsidP="00C245E3">
      <w:pPr>
        <w:spacing w:line="240" w:lineRule="atLeast"/>
        <w:rPr>
          <w:rFonts w:ascii="Verdana" w:hAnsi="Verdana"/>
          <w:i/>
          <w:sz w:val="18"/>
          <w:szCs w:val="18"/>
        </w:rPr>
      </w:pPr>
      <w:r w:rsidRPr="00C245E3">
        <w:rPr>
          <w:rFonts w:ascii="Verdana" w:hAnsi="Verdana"/>
          <w:i/>
          <w:sz w:val="18"/>
          <w:szCs w:val="18"/>
        </w:rPr>
        <w:t>Sub-goals:</w:t>
      </w:r>
    </w:p>
    <w:p w14:paraId="68E1256D" w14:textId="77777777" w:rsidR="00CE6E62" w:rsidRPr="00C245E3" w:rsidRDefault="00CE6E62" w:rsidP="00C245E3">
      <w:pPr>
        <w:spacing w:line="240" w:lineRule="atLeast"/>
        <w:rPr>
          <w:rFonts w:ascii="Verdana" w:hAnsi="Verdana"/>
          <w:sz w:val="18"/>
          <w:szCs w:val="18"/>
          <w:u w:val="single"/>
        </w:rPr>
      </w:pPr>
      <w:r w:rsidRPr="00C245E3">
        <w:rPr>
          <w:rFonts w:ascii="Verdana" w:hAnsi="Verdana"/>
          <w:sz w:val="18"/>
          <w:szCs w:val="18"/>
          <w:u w:val="single"/>
        </w:rPr>
        <w:t xml:space="preserve">Create an enabling environment </w:t>
      </w:r>
    </w:p>
    <w:p w14:paraId="2065A6E2" w14:textId="743711A3" w:rsidR="00CE6E62" w:rsidRPr="00C245E3" w:rsidRDefault="00CE6E62" w:rsidP="00C245E3">
      <w:pPr>
        <w:spacing w:line="240" w:lineRule="atLeast"/>
        <w:rPr>
          <w:rFonts w:ascii="Verdana" w:hAnsi="Verdana" w:cs="Arial"/>
          <w:kern w:val="0"/>
          <w:sz w:val="18"/>
          <w:szCs w:val="18"/>
          <w14:ligatures w14:val="none"/>
        </w:rPr>
      </w:pPr>
      <w:r w:rsidRPr="00C245E3">
        <w:rPr>
          <w:rFonts w:ascii="Verdana" w:hAnsi="Verdana"/>
          <w:sz w:val="18"/>
          <w:szCs w:val="18"/>
        </w:rPr>
        <w:t xml:space="preserve">An enabling environment provides the necessary conditions for partnerships to deliver their products and/or services using innovative revenue models and marketing strategies. It is important to focus on those environmental elements that impede market improvement in a particular sector. In other words, the interventions will have to be aimed in part at sector change, to be pursued in close collaboration with the relevant partner countries, specific public bodies and other donors. From the start, it is important to form broad partnerships with relevant local stakeholders that can exert influence with regard to the removal of obstacles. </w:t>
      </w:r>
    </w:p>
    <w:p w14:paraId="76BFEF3C" w14:textId="77777777" w:rsidR="00CE6E62" w:rsidRPr="00C245E3" w:rsidRDefault="00CE6E62" w:rsidP="00C245E3">
      <w:pPr>
        <w:spacing w:line="240" w:lineRule="atLeast"/>
        <w:rPr>
          <w:rFonts w:ascii="Verdana" w:hAnsi="Verdana" w:cs="Arial"/>
          <w:kern w:val="0"/>
          <w:sz w:val="18"/>
          <w:szCs w:val="18"/>
          <w14:ligatures w14:val="none"/>
        </w:rPr>
      </w:pPr>
    </w:p>
    <w:p w14:paraId="3C49C769" w14:textId="77777777" w:rsidR="00CE6E62" w:rsidRPr="00C245E3" w:rsidRDefault="00CE6E62" w:rsidP="00C245E3">
      <w:pPr>
        <w:spacing w:line="240" w:lineRule="atLeast"/>
        <w:rPr>
          <w:rFonts w:ascii="Verdana" w:hAnsi="Verdana"/>
          <w:sz w:val="18"/>
          <w:szCs w:val="18"/>
          <w:u w:val="single"/>
        </w:rPr>
      </w:pPr>
      <w:r w:rsidRPr="00C245E3">
        <w:rPr>
          <w:rFonts w:ascii="Verdana" w:hAnsi="Verdana"/>
          <w:sz w:val="18"/>
          <w:szCs w:val="18"/>
          <w:u w:val="single"/>
        </w:rPr>
        <w:t xml:space="preserve">Improving the development of products and services </w:t>
      </w:r>
    </w:p>
    <w:p w14:paraId="7573CF4C" w14:textId="77777777" w:rsidR="00CE6E62" w:rsidRPr="00C245E3" w:rsidRDefault="00CE6E62" w:rsidP="00C245E3">
      <w:pPr>
        <w:spacing w:line="240" w:lineRule="atLeast"/>
        <w:rPr>
          <w:rFonts w:ascii="Verdana" w:hAnsi="Verdana" w:cs="Arial"/>
          <w:kern w:val="0"/>
          <w:sz w:val="18"/>
          <w:szCs w:val="18"/>
          <w14:ligatures w14:val="none"/>
        </w:rPr>
      </w:pPr>
      <w:r w:rsidRPr="00C245E3">
        <w:rPr>
          <w:rFonts w:ascii="Verdana" w:hAnsi="Verdana"/>
          <w:sz w:val="18"/>
          <w:szCs w:val="18"/>
        </w:rPr>
        <w:t>Using demand-driven, demonstrably effective methods, multi-year partnerships of public and private organisations, including knowledge institutions and civil society organisations from the Netherlands and the partner country, can develop affordable, sustainable and climate-resilient products and/or services that align with the local context and meet concrete needs. These products and services should aim to resolve issues concerning water security and safety from flooding, or improving food security.</w:t>
      </w:r>
    </w:p>
    <w:p w14:paraId="76E493BD" w14:textId="77777777" w:rsidR="00CE6E62" w:rsidRPr="00C245E3" w:rsidRDefault="00CE6E62" w:rsidP="00C245E3">
      <w:pPr>
        <w:spacing w:line="240" w:lineRule="atLeast"/>
        <w:rPr>
          <w:rFonts w:ascii="Verdana" w:hAnsi="Verdana" w:cs="Arial"/>
          <w:kern w:val="0"/>
          <w:sz w:val="18"/>
          <w:szCs w:val="18"/>
          <w14:ligatures w14:val="none"/>
        </w:rPr>
      </w:pPr>
    </w:p>
    <w:p w14:paraId="3A04A0B0" w14:textId="77777777" w:rsidR="00CE6E62" w:rsidRPr="00C245E3" w:rsidRDefault="00CE6E62" w:rsidP="00C245E3">
      <w:pPr>
        <w:spacing w:line="240" w:lineRule="atLeast"/>
        <w:rPr>
          <w:rFonts w:ascii="Verdana" w:hAnsi="Verdana"/>
          <w:sz w:val="18"/>
          <w:szCs w:val="18"/>
          <w:u w:val="single"/>
        </w:rPr>
      </w:pPr>
      <w:r w:rsidRPr="00C245E3">
        <w:rPr>
          <w:rFonts w:ascii="Verdana" w:hAnsi="Verdana"/>
          <w:sz w:val="18"/>
          <w:szCs w:val="18"/>
          <w:u w:val="single"/>
        </w:rPr>
        <w:t>Strengthening market development</w:t>
      </w:r>
    </w:p>
    <w:p w14:paraId="5E95507C" w14:textId="77777777" w:rsidR="00666115" w:rsidRPr="00C245E3" w:rsidRDefault="007A2555" w:rsidP="00C245E3">
      <w:pPr>
        <w:spacing w:line="240" w:lineRule="atLeast"/>
        <w:rPr>
          <w:rFonts w:ascii="Verdana" w:hAnsi="Verdana" w:cs="Arial"/>
          <w:kern w:val="0"/>
          <w:sz w:val="18"/>
          <w:szCs w:val="18"/>
          <w14:ligatures w14:val="none"/>
        </w:rPr>
      </w:pPr>
      <w:r w:rsidRPr="00C245E3">
        <w:rPr>
          <w:rFonts w:ascii="Verdana" w:hAnsi="Verdana"/>
          <w:sz w:val="18"/>
          <w:szCs w:val="18"/>
        </w:rPr>
        <w:t>This sub-goal involves testing, adjusting and scaling up inclusive business cases, and strengthening the link with the market. To ensure that the envisaged products and services are available to society for a sustained period, it is essential that inclusive, financially feasible and profitable business cases built by partnerships (and beneficiaries) are taken up by the market.</w:t>
      </w:r>
    </w:p>
    <w:p w14:paraId="213D8901" w14:textId="77777777" w:rsidR="000C13C4" w:rsidRPr="00C245E3" w:rsidRDefault="000C13C4" w:rsidP="00C245E3">
      <w:pPr>
        <w:spacing w:line="240" w:lineRule="atLeast"/>
        <w:rPr>
          <w:rFonts w:ascii="Verdana" w:hAnsi="Verdana" w:cs="Arial"/>
          <w:kern w:val="0"/>
          <w:sz w:val="18"/>
          <w:szCs w:val="18"/>
          <w14:ligatures w14:val="none"/>
        </w:rPr>
      </w:pPr>
    </w:p>
    <w:p w14:paraId="50BDAAAD" w14:textId="77777777" w:rsidR="00612CB4" w:rsidRPr="00C245E3" w:rsidRDefault="00CC1BF3" w:rsidP="00C245E3">
      <w:pPr>
        <w:pStyle w:val="Lijstalinea"/>
        <w:numPr>
          <w:ilvl w:val="1"/>
          <w:numId w:val="26"/>
        </w:numPr>
        <w:spacing w:line="240" w:lineRule="atLeast"/>
        <w:rPr>
          <w:rFonts w:ascii="Verdana" w:hAnsi="Verdana"/>
          <w:i/>
          <w:iCs/>
          <w:sz w:val="18"/>
          <w:szCs w:val="18"/>
        </w:rPr>
      </w:pPr>
      <w:r w:rsidRPr="00C245E3">
        <w:rPr>
          <w:rFonts w:ascii="Verdana" w:hAnsi="Verdana"/>
          <w:i/>
          <w:sz w:val="18"/>
          <w:szCs w:val="18"/>
        </w:rPr>
        <w:t>Beneficiaries</w:t>
      </w:r>
    </w:p>
    <w:p w14:paraId="17499B59" w14:textId="2725ACF0" w:rsidR="00F96606" w:rsidRPr="00C245E3" w:rsidRDefault="00612CB4" w:rsidP="00C245E3">
      <w:pPr>
        <w:spacing w:line="240" w:lineRule="atLeast"/>
        <w:rPr>
          <w:rFonts w:ascii="Verdana" w:hAnsi="Verdana"/>
          <w:sz w:val="18"/>
          <w:szCs w:val="18"/>
        </w:rPr>
      </w:pPr>
      <w:r w:rsidRPr="00C245E3">
        <w:rPr>
          <w:rFonts w:ascii="Verdana" w:hAnsi="Verdana"/>
          <w:sz w:val="18"/>
          <w:szCs w:val="18"/>
        </w:rPr>
        <w:t xml:space="preserve">The Minister aims for the grant programme to </w:t>
      </w:r>
      <w:r w:rsidR="001E5B1A" w:rsidRPr="00C245E3">
        <w:rPr>
          <w:rFonts w:ascii="Verdana" w:hAnsi="Verdana"/>
          <w:sz w:val="18"/>
          <w:szCs w:val="18"/>
        </w:rPr>
        <w:t>support</w:t>
      </w:r>
      <w:r w:rsidRPr="00C245E3">
        <w:rPr>
          <w:rFonts w:ascii="Verdana" w:hAnsi="Verdana"/>
          <w:sz w:val="18"/>
          <w:szCs w:val="18"/>
        </w:rPr>
        <w:t xml:space="preserve"> the following target groups (beneficiaries) in the partner countries</w:t>
      </w:r>
      <w:r w:rsidR="001E5B1A" w:rsidRPr="00C245E3">
        <w:rPr>
          <w:rFonts w:ascii="Verdana" w:hAnsi="Verdana"/>
          <w:sz w:val="18"/>
          <w:szCs w:val="18"/>
        </w:rPr>
        <w:t xml:space="preserve"> who would benefit from sustainable, climate-friendly sector change and market development</w:t>
      </w:r>
      <w:r w:rsidRPr="00C245E3">
        <w:rPr>
          <w:rFonts w:ascii="Verdana" w:hAnsi="Verdana"/>
          <w:sz w:val="18"/>
          <w:szCs w:val="18"/>
        </w:rPr>
        <w:t xml:space="preserve">: </w:t>
      </w:r>
    </w:p>
    <w:p w14:paraId="5BB069AD" w14:textId="77777777" w:rsidR="00F96606" w:rsidRPr="00C245E3" w:rsidRDefault="00F96606" w:rsidP="00C245E3">
      <w:pPr>
        <w:widowControl w:val="0"/>
        <w:numPr>
          <w:ilvl w:val="0"/>
          <w:numId w:val="32"/>
        </w:numPr>
        <w:autoSpaceDE w:val="0"/>
        <w:autoSpaceDN w:val="0"/>
        <w:adjustRightInd w:val="0"/>
        <w:spacing w:line="240" w:lineRule="atLeast"/>
        <w:rPr>
          <w:rFonts w:ascii="Verdana" w:hAnsi="Verdana" w:cs="Arial"/>
          <w:sz w:val="18"/>
          <w:szCs w:val="18"/>
        </w:rPr>
      </w:pPr>
      <w:r w:rsidRPr="00C245E3">
        <w:rPr>
          <w:rFonts w:ascii="Verdana" w:hAnsi="Verdana"/>
          <w:sz w:val="18"/>
          <w:szCs w:val="18"/>
        </w:rPr>
        <w:t xml:space="preserve">Small and medium-sized producers and service providers of food (farmers, fishers and pastoral nomads), water and non-food commodities (e.g. cotton, hydropower); </w:t>
      </w:r>
    </w:p>
    <w:p w14:paraId="19D2F102" w14:textId="23D66048" w:rsidR="00F96606" w:rsidRPr="00C245E3" w:rsidRDefault="00F96606" w:rsidP="00C245E3">
      <w:pPr>
        <w:widowControl w:val="0"/>
        <w:numPr>
          <w:ilvl w:val="0"/>
          <w:numId w:val="32"/>
        </w:numPr>
        <w:autoSpaceDE w:val="0"/>
        <w:autoSpaceDN w:val="0"/>
        <w:adjustRightInd w:val="0"/>
        <w:spacing w:line="240" w:lineRule="atLeast"/>
        <w:rPr>
          <w:rFonts w:ascii="Verdana" w:hAnsi="Verdana" w:cs="Arial"/>
          <w:bCs/>
          <w:iCs/>
          <w:sz w:val="18"/>
          <w:szCs w:val="18"/>
        </w:rPr>
      </w:pPr>
      <w:r w:rsidRPr="00C245E3">
        <w:rPr>
          <w:rFonts w:ascii="Verdana" w:hAnsi="Verdana"/>
          <w:sz w:val="18"/>
          <w:szCs w:val="18"/>
        </w:rPr>
        <w:t xml:space="preserve">Users of products and services being improved in the project; </w:t>
      </w:r>
    </w:p>
    <w:p w14:paraId="4C74A76D" w14:textId="77777777" w:rsidR="001841C6" w:rsidRPr="00C245E3" w:rsidRDefault="00F96606" w:rsidP="00C245E3">
      <w:pPr>
        <w:widowControl w:val="0"/>
        <w:numPr>
          <w:ilvl w:val="0"/>
          <w:numId w:val="32"/>
        </w:numPr>
        <w:autoSpaceDE w:val="0"/>
        <w:autoSpaceDN w:val="0"/>
        <w:adjustRightInd w:val="0"/>
        <w:spacing w:line="240" w:lineRule="atLeast"/>
        <w:rPr>
          <w:rFonts w:ascii="Verdana" w:hAnsi="Verdana" w:cs="Arial"/>
          <w:bCs/>
          <w:iCs/>
          <w:sz w:val="18"/>
          <w:szCs w:val="18"/>
        </w:rPr>
      </w:pPr>
      <w:r w:rsidRPr="00C245E3">
        <w:rPr>
          <w:rFonts w:ascii="Verdana" w:hAnsi="Verdana"/>
          <w:sz w:val="18"/>
          <w:szCs w:val="18"/>
        </w:rPr>
        <w:t xml:space="preserve">Producers and service providers as described under (a), consumers, small and medium-sized organisations that would benefit from the proposed improvements in food and water security, flood safety and specific other sectors and (parts of) specific value chains. </w:t>
      </w:r>
    </w:p>
    <w:p w14:paraId="3247E84D" w14:textId="77777777" w:rsidR="00F96606" w:rsidRPr="00C245E3" w:rsidRDefault="001841C6" w:rsidP="00C245E3">
      <w:pPr>
        <w:widowControl w:val="0"/>
        <w:numPr>
          <w:ilvl w:val="0"/>
          <w:numId w:val="32"/>
        </w:numPr>
        <w:autoSpaceDE w:val="0"/>
        <w:autoSpaceDN w:val="0"/>
        <w:adjustRightInd w:val="0"/>
        <w:spacing w:line="240" w:lineRule="atLeast"/>
        <w:rPr>
          <w:rFonts w:ascii="Verdana" w:hAnsi="Verdana" w:cs="Arial"/>
          <w:bCs/>
          <w:iCs/>
          <w:sz w:val="18"/>
          <w:szCs w:val="18"/>
        </w:rPr>
      </w:pPr>
      <w:r w:rsidRPr="00C245E3">
        <w:rPr>
          <w:rFonts w:ascii="Verdana" w:hAnsi="Verdana"/>
          <w:sz w:val="18"/>
          <w:szCs w:val="18"/>
        </w:rPr>
        <w:t xml:space="preserve">Knowledge institutions, civil society organisations and public actors that are not members of </w:t>
      </w:r>
      <w:r w:rsidRPr="00C245E3">
        <w:rPr>
          <w:rFonts w:ascii="Verdana" w:hAnsi="Verdana"/>
          <w:sz w:val="18"/>
          <w:szCs w:val="18"/>
        </w:rPr>
        <w:lastRenderedPageBreak/>
        <w:t>the partnership and that will, as a result of the programme activities, turn their energies to knowledge transfer and capacity development in the partner countries.</w:t>
      </w:r>
    </w:p>
    <w:p w14:paraId="0BA79470" w14:textId="77777777" w:rsidR="00F96606" w:rsidRPr="00C245E3" w:rsidRDefault="00F96606" w:rsidP="00C245E3">
      <w:pPr>
        <w:widowControl w:val="0"/>
        <w:autoSpaceDE w:val="0"/>
        <w:autoSpaceDN w:val="0"/>
        <w:adjustRightInd w:val="0"/>
        <w:spacing w:line="240" w:lineRule="atLeast"/>
        <w:ind w:left="720"/>
        <w:rPr>
          <w:rFonts w:ascii="Verdana" w:hAnsi="Verdana" w:cs="Arial"/>
          <w:bCs/>
          <w:iCs/>
          <w:sz w:val="18"/>
          <w:szCs w:val="18"/>
        </w:rPr>
      </w:pPr>
    </w:p>
    <w:p w14:paraId="36F64496" w14:textId="77777777" w:rsidR="00F96606" w:rsidRPr="00C245E3" w:rsidRDefault="00F96606" w:rsidP="00C245E3">
      <w:pPr>
        <w:widowControl w:val="0"/>
        <w:autoSpaceDE w:val="0"/>
        <w:autoSpaceDN w:val="0"/>
        <w:adjustRightInd w:val="0"/>
        <w:spacing w:line="240" w:lineRule="atLeast"/>
        <w:rPr>
          <w:rFonts w:ascii="Verdana" w:hAnsi="Verdana" w:cs="Arial"/>
          <w:i/>
          <w:sz w:val="18"/>
          <w:szCs w:val="18"/>
        </w:rPr>
      </w:pPr>
      <w:r w:rsidRPr="00C245E3">
        <w:rPr>
          <w:rFonts w:ascii="Verdana" w:hAnsi="Verdana"/>
          <w:sz w:val="18"/>
          <w:szCs w:val="18"/>
        </w:rPr>
        <w:t>With regard to producers and users of products and services relating to food, water and specific value chains, special attention should be given to women and minority groups.</w:t>
      </w:r>
    </w:p>
    <w:p w14:paraId="20B1F54D" w14:textId="77777777" w:rsidR="00DC6CF9" w:rsidRPr="00C245E3" w:rsidRDefault="00DC6CF9" w:rsidP="00C245E3">
      <w:pPr>
        <w:spacing w:line="240" w:lineRule="atLeast"/>
        <w:rPr>
          <w:rFonts w:ascii="Verdana" w:hAnsi="Verdana"/>
          <w:sz w:val="18"/>
          <w:szCs w:val="18"/>
        </w:rPr>
      </w:pPr>
    </w:p>
    <w:p w14:paraId="661C5766" w14:textId="77777777" w:rsidR="00765ABB" w:rsidRPr="00C245E3" w:rsidRDefault="283477C2" w:rsidP="00C245E3">
      <w:pPr>
        <w:spacing w:line="240" w:lineRule="atLeast"/>
        <w:rPr>
          <w:rFonts w:ascii="Verdana" w:hAnsi="Verdana"/>
          <w:i/>
          <w:iCs/>
          <w:sz w:val="18"/>
          <w:szCs w:val="18"/>
        </w:rPr>
      </w:pPr>
      <w:r w:rsidRPr="00C245E3">
        <w:rPr>
          <w:rFonts w:ascii="Verdana" w:hAnsi="Verdana"/>
          <w:i/>
          <w:sz w:val="18"/>
          <w:szCs w:val="18"/>
        </w:rPr>
        <w:t xml:space="preserve">4.3 Parties that may be eligible for a grant </w:t>
      </w:r>
    </w:p>
    <w:p w14:paraId="6851C862"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Through the grant programme the Minister wishes to support partnerships conducting activities focusing on sustainable, climate-friendly sector change and market development in relation to water, food security and specific other sectors and value chains. A lead party must apply for a grant on the behalf of a partnership.</w:t>
      </w:r>
    </w:p>
    <w:p w14:paraId="0C919F5F" w14:textId="77777777" w:rsidR="00963BF4" w:rsidRPr="00C245E3" w:rsidRDefault="283477C2" w:rsidP="00C245E3">
      <w:pPr>
        <w:spacing w:line="240" w:lineRule="atLeast"/>
        <w:rPr>
          <w:rFonts w:ascii="Verdana" w:eastAsia="Verdana" w:hAnsi="Verdana" w:cs="Verdana"/>
          <w:sz w:val="18"/>
          <w:szCs w:val="18"/>
        </w:rPr>
      </w:pPr>
      <w:bookmarkStart w:id="3" w:name="_Hlk235690980"/>
      <w:r w:rsidRPr="00C245E3">
        <w:rPr>
          <w:rFonts w:ascii="Verdana" w:hAnsi="Verdana"/>
          <w:sz w:val="18"/>
          <w:szCs w:val="18"/>
        </w:rPr>
        <w:t>The lead party must have its registered office in the Netherlands, or have its registered office in another country and a branch or permanent establishment in the Netherlands.</w:t>
      </w:r>
      <w:bookmarkStart w:id="4" w:name="_Hlk170734904"/>
      <w:bookmarkEnd w:id="3"/>
      <w:r w:rsidRPr="00C245E3">
        <w:rPr>
          <w:rFonts w:ascii="Verdana" w:hAnsi="Verdana"/>
          <w:sz w:val="18"/>
          <w:szCs w:val="18"/>
        </w:rPr>
        <w:t xml:space="preserve"> The achievement of the goals must also serve the lead party’s interests.</w:t>
      </w:r>
    </w:p>
    <w:bookmarkEnd w:id="4"/>
    <w:p w14:paraId="758D4150" w14:textId="77777777" w:rsidR="00612CB4" w:rsidRPr="00C245E3" w:rsidRDefault="00612CB4" w:rsidP="00C245E3">
      <w:pPr>
        <w:spacing w:line="240" w:lineRule="atLeast"/>
        <w:rPr>
          <w:rFonts w:ascii="Verdana" w:hAnsi="Verdana"/>
          <w:sz w:val="18"/>
          <w:szCs w:val="18"/>
        </w:rPr>
      </w:pPr>
      <w:r w:rsidRPr="00C245E3">
        <w:rPr>
          <w:rFonts w:ascii="Verdana" w:hAnsi="Verdana"/>
          <w:sz w:val="18"/>
          <w:szCs w:val="18"/>
        </w:rPr>
        <w:t>A partnership can be formed by up to six organisations and must in any case include:</w:t>
      </w:r>
    </w:p>
    <w:p w14:paraId="470F84E9" w14:textId="77777777" w:rsidR="00612CB4" w:rsidRPr="00C245E3" w:rsidRDefault="00612CB4" w:rsidP="00C245E3">
      <w:pPr>
        <w:pStyle w:val="Lijstalinea"/>
        <w:numPr>
          <w:ilvl w:val="0"/>
          <w:numId w:val="27"/>
        </w:numPr>
        <w:spacing w:line="240" w:lineRule="atLeast"/>
        <w:rPr>
          <w:rFonts w:ascii="Verdana" w:hAnsi="Verdana"/>
          <w:sz w:val="18"/>
          <w:szCs w:val="18"/>
        </w:rPr>
      </w:pPr>
      <w:bookmarkStart w:id="5" w:name="_Hlk235691220"/>
      <w:r w:rsidRPr="00C245E3">
        <w:rPr>
          <w:rFonts w:ascii="Verdana" w:hAnsi="Verdana"/>
          <w:sz w:val="18"/>
          <w:szCs w:val="18"/>
        </w:rPr>
        <w:t xml:space="preserve">one business that has its registered office in the Netherlands, or that has its registered office in another country and a branch or permanent establishment in the Netherlands; </w:t>
      </w:r>
    </w:p>
    <w:bookmarkEnd w:id="5"/>
    <w:p w14:paraId="396AB962" w14:textId="77777777" w:rsidR="00612CB4" w:rsidRPr="00C245E3" w:rsidRDefault="00612CB4" w:rsidP="00C245E3">
      <w:pPr>
        <w:pStyle w:val="Lijstalinea"/>
        <w:numPr>
          <w:ilvl w:val="0"/>
          <w:numId w:val="27"/>
        </w:numPr>
        <w:spacing w:line="240" w:lineRule="atLeast"/>
        <w:rPr>
          <w:rFonts w:ascii="Verdana" w:hAnsi="Verdana"/>
          <w:sz w:val="18"/>
          <w:szCs w:val="18"/>
        </w:rPr>
      </w:pPr>
      <w:r w:rsidRPr="00C245E3">
        <w:rPr>
          <w:rFonts w:ascii="Verdana" w:hAnsi="Verdana"/>
          <w:sz w:val="18"/>
          <w:szCs w:val="18"/>
        </w:rPr>
        <w:t>one local organisation (a local civil society organisation, a local knowledge institution or a local business);</w:t>
      </w:r>
    </w:p>
    <w:p w14:paraId="4E56BD2B" w14:textId="77777777" w:rsidR="00612CB4" w:rsidRPr="00C245E3" w:rsidRDefault="00612CB4" w:rsidP="00C245E3">
      <w:pPr>
        <w:pStyle w:val="Lijstalinea"/>
        <w:numPr>
          <w:ilvl w:val="0"/>
          <w:numId w:val="27"/>
        </w:numPr>
        <w:spacing w:line="240" w:lineRule="atLeast"/>
        <w:rPr>
          <w:rFonts w:ascii="Verdana" w:hAnsi="Verdana"/>
          <w:sz w:val="18"/>
          <w:szCs w:val="18"/>
        </w:rPr>
      </w:pPr>
      <w:r w:rsidRPr="00C245E3">
        <w:rPr>
          <w:rFonts w:ascii="Verdana" w:hAnsi="Verdana"/>
          <w:sz w:val="18"/>
          <w:szCs w:val="18"/>
        </w:rPr>
        <w:t xml:space="preserve">one civil society organisation or one knowledge institution (either local or not); </w:t>
      </w:r>
    </w:p>
    <w:p w14:paraId="70A3E8EB" w14:textId="77777777" w:rsidR="00612CB4" w:rsidRPr="00C245E3" w:rsidRDefault="00612CB4" w:rsidP="00C245E3">
      <w:pPr>
        <w:pStyle w:val="Lijstalinea"/>
        <w:numPr>
          <w:ilvl w:val="0"/>
          <w:numId w:val="27"/>
        </w:numPr>
        <w:spacing w:line="240" w:lineRule="atLeast"/>
        <w:rPr>
          <w:rFonts w:ascii="Verdana" w:hAnsi="Verdana"/>
          <w:sz w:val="18"/>
          <w:szCs w:val="18"/>
        </w:rPr>
      </w:pPr>
      <w:r w:rsidRPr="00C245E3">
        <w:rPr>
          <w:rFonts w:ascii="Verdana" w:hAnsi="Verdana"/>
          <w:sz w:val="18"/>
          <w:szCs w:val="18"/>
        </w:rPr>
        <w:t xml:space="preserve">one local public body that has signed the partnership agreement or that has explicitly declared its intention to sign the partnership agreement within three months of a grant being awarded (see section 6.1). </w:t>
      </w:r>
    </w:p>
    <w:p w14:paraId="5B2B7874" w14:textId="77777777" w:rsidR="00730468" w:rsidRPr="00C245E3" w:rsidRDefault="002C6649" w:rsidP="00C245E3">
      <w:pPr>
        <w:spacing w:line="240" w:lineRule="atLeast"/>
        <w:rPr>
          <w:rFonts w:ascii="Verdana" w:hAnsi="Verdana"/>
          <w:sz w:val="18"/>
          <w:szCs w:val="18"/>
        </w:rPr>
      </w:pPr>
      <w:r w:rsidRPr="00C245E3">
        <w:rPr>
          <w:rFonts w:ascii="Verdana" w:hAnsi="Verdana"/>
          <w:sz w:val="18"/>
          <w:szCs w:val="18"/>
        </w:rPr>
        <w:t>A partnership may include a trade association as one of the partners, but this is not a requirement.</w:t>
      </w:r>
    </w:p>
    <w:p w14:paraId="29B6F2AE" w14:textId="6E8CA399" w:rsidR="001A28E7" w:rsidRPr="00C245E3" w:rsidRDefault="0089745F" w:rsidP="00C245E3">
      <w:pPr>
        <w:spacing w:line="240" w:lineRule="atLeast"/>
        <w:rPr>
          <w:rFonts w:ascii="Verdana" w:hAnsi="Verdana"/>
          <w:sz w:val="18"/>
          <w:szCs w:val="18"/>
        </w:rPr>
      </w:pPr>
      <w:r w:rsidRPr="00C245E3">
        <w:rPr>
          <w:rFonts w:ascii="Verdana" w:hAnsi="Verdana"/>
          <w:sz w:val="18"/>
          <w:szCs w:val="18"/>
        </w:rPr>
        <w:t xml:space="preserve">In particular, partnerships focusing on the nexus of water and food security must be made up of partners that are active in sectors relating to </w:t>
      </w:r>
      <w:r w:rsidR="0059695A" w:rsidRPr="00C245E3">
        <w:rPr>
          <w:rFonts w:ascii="Verdana" w:hAnsi="Verdana"/>
          <w:sz w:val="18"/>
          <w:szCs w:val="18"/>
        </w:rPr>
        <w:t xml:space="preserve">both </w:t>
      </w:r>
      <w:r w:rsidRPr="00C245E3">
        <w:rPr>
          <w:rFonts w:ascii="Verdana" w:hAnsi="Verdana"/>
          <w:sz w:val="18"/>
          <w:szCs w:val="18"/>
        </w:rPr>
        <w:t>food security and water.</w:t>
      </w:r>
    </w:p>
    <w:p w14:paraId="1D5BAEA8" w14:textId="77777777" w:rsidR="001A28E7" w:rsidRPr="00C245E3" w:rsidRDefault="00412AFF" w:rsidP="00C245E3">
      <w:pPr>
        <w:spacing w:line="240" w:lineRule="atLeast"/>
        <w:rPr>
          <w:rFonts w:ascii="Verdana" w:hAnsi="Verdana"/>
          <w:sz w:val="18"/>
          <w:szCs w:val="18"/>
        </w:rPr>
      </w:pPr>
      <w:r w:rsidRPr="00C245E3">
        <w:rPr>
          <w:rFonts w:ascii="Verdana" w:hAnsi="Verdana"/>
          <w:sz w:val="18"/>
          <w:szCs w:val="18"/>
        </w:rPr>
        <w:t>For each partnership, the objectives of each partner as set out in their constitution must be in keeping with the goal of this grant programme. Each partner must also be in a position to ensure adequate financial management and guarantee effective and efficient implementation of the activities through experience and expertise in relation to activities of the kind for which a grant is being sought.</w:t>
      </w:r>
      <w:r w:rsidR="00C8026D" w:rsidRPr="00C245E3">
        <w:rPr>
          <w:rStyle w:val="Voetnootmarkering"/>
          <w:rFonts w:ascii="Verdana" w:hAnsi="Verdana"/>
          <w:sz w:val="18"/>
          <w:szCs w:val="18"/>
        </w:rPr>
        <w:footnoteReference w:id="9"/>
      </w:r>
    </w:p>
    <w:p w14:paraId="29659EEE" w14:textId="177114F5" w:rsidR="00275B1C" w:rsidRPr="00C245E3" w:rsidRDefault="00275B1C" w:rsidP="00C245E3">
      <w:pPr>
        <w:spacing w:line="240" w:lineRule="atLeast"/>
        <w:rPr>
          <w:rFonts w:ascii="Verdana" w:hAnsi="Verdana"/>
          <w:sz w:val="18"/>
          <w:szCs w:val="18"/>
        </w:rPr>
      </w:pPr>
      <w:r w:rsidRPr="00C245E3">
        <w:rPr>
          <w:rFonts w:ascii="Verdana" w:hAnsi="Verdana"/>
          <w:sz w:val="18"/>
          <w:szCs w:val="18"/>
        </w:rPr>
        <w:t xml:space="preserve">Per funding round, an organisation acting as lead party can qualify for a grant in no more than two applications. </w:t>
      </w:r>
      <w:r w:rsidR="009C0907" w:rsidRPr="00C245E3">
        <w:rPr>
          <w:rFonts w:ascii="Verdana" w:hAnsi="Verdana"/>
          <w:sz w:val="18"/>
          <w:szCs w:val="18"/>
        </w:rPr>
        <w:t xml:space="preserve">However, such an organisation can also participate as a partner (though not lead party) </w:t>
      </w:r>
      <w:r w:rsidR="008B5657" w:rsidRPr="00C245E3">
        <w:rPr>
          <w:rFonts w:ascii="Verdana" w:hAnsi="Verdana"/>
          <w:sz w:val="18"/>
          <w:szCs w:val="18"/>
        </w:rPr>
        <w:t xml:space="preserve">in other applications </w:t>
      </w:r>
      <w:r w:rsidRPr="00C245E3">
        <w:rPr>
          <w:rFonts w:ascii="Verdana" w:hAnsi="Verdana"/>
          <w:sz w:val="18"/>
          <w:szCs w:val="18"/>
        </w:rPr>
        <w:t>in</w:t>
      </w:r>
      <w:r w:rsidR="008B5657" w:rsidRPr="00C245E3">
        <w:rPr>
          <w:rFonts w:ascii="Verdana" w:hAnsi="Verdana"/>
          <w:sz w:val="18"/>
          <w:szCs w:val="18"/>
        </w:rPr>
        <w:t xml:space="preserve"> the same funding round</w:t>
      </w:r>
      <w:r w:rsidR="00B90B98" w:rsidRPr="00C245E3">
        <w:rPr>
          <w:rFonts w:ascii="Verdana" w:hAnsi="Verdana"/>
          <w:sz w:val="18"/>
          <w:szCs w:val="18"/>
        </w:rPr>
        <w:t xml:space="preserve">. </w:t>
      </w:r>
      <w:r w:rsidRPr="00C245E3">
        <w:rPr>
          <w:rFonts w:ascii="Verdana" w:hAnsi="Verdana"/>
          <w:sz w:val="18"/>
          <w:szCs w:val="18"/>
        </w:rPr>
        <w:t>If an organisation is a partner in multiple applications, whether as lead party or not, these applications must concern different partner countries or themes. In other words, an organisation may not be involved in more than one application per partner country and per theme, otherwise only the first application submitted will be considered and any applications subsequently submitted will be rejected.</w:t>
      </w:r>
    </w:p>
    <w:p w14:paraId="14ABC115" w14:textId="77777777" w:rsidR="00275B1C" w:rsidRPr="00C245E3" w:rsidRDefault="00275B1C" w:rsidP="00C245E3">
      <w:pPr>
        <w:spacing w:line="240" w:lineRule="atLeast"/>
        <w:rPr>
          <w:rFonts w:ascii="Verdana" w:hAnsi="Verdana"/>
          <w:sz w:val="18"/>
          <w:szCs w:val="18"/>
        </w:rPr>
      </w:pPr>
      <w:r w:rsidRPr="00C245E3">
        <w:rPr>
          <w:rFonts w:ascii="Verdana" w:hAnsi="Verdana"/>
          <w:sz w:val="18"/>
          <w:szCs w:val="18"/>
        </w:rPr>
        <w:t>The lead party must demonstrate that over the last five financial years (as from the date the application is submitted), on average, at least 50% of its total annual income</w:t>
      </w:r>
      <w:r w:rsidR="00651F7D" w:rsidRPr="00C245E3">
        <w:rPr>
          <w:rStyle w:val="Voetnootmarkering"/>
          <w:rFonts w:ascii="Verdana" w:hAnsi="Verdana"/>
          <w:sz w:val="18"/>
          <w:szCs w:val="18"/>
        </w:rPr>
        <w:footnoteReference w:id="10"/>
      </w:r>
      <w:r w:rsidRPr="00C245E3">
        <w:rPr>
          <w:rFonts w:ascii="Verdana" w:hAnsi="Verdana"/>
          <w:sz w:val="18"/>
          <w:szCs w:val="18"/>
        </w:rPr>
        <w:t xml:space="preserve"> is derived from sources other than grants and/or contributions (direct or indirect) from the Ministry of Foreign Affairs. If, on average, more than 50% of the lead party’s total annual income during this period comes directly or indirectly from grants or contributions from the budget of the Ministry of Foreign Affairs or the budget for Foreign Trade and Development Cooperation (BHOS), the organisation in question is only eligible for one grant per funding round, either as lead party or as a partner other than the lead party. </w:t>
      </w:r>
    </w:p>
    <w:p w14:paraId="1C1B064B" w14:textId="77777777" w:rsidR="00275B1C" w:rsidRPr="00C245E3" w:rsidRDefault="00275B1C" w:rsidP="00C245E3">
      <w:pPr>
        <w:spacing w:line="240" w:lineRule="atLeast"/>
        <w:rPr>
          <w:rFonts w:ascii="Verdana" w:hAnsi="Verdana"/>
          <w:sz w:val="18"/>
          <w:szCs w:val="18"/>
        </w:rPr>
      </w:pPr>
    </w:p>
    <w:p w14:paraId="53CD1F8C" w14:textId="7FAC8F06" w:rsidR="00C21D21" w:rsidRPr="00C245E3" w:rsidRDefault="283477C2" w:rsidP="00C245E3">
      <w:pPr>
        <w:spacing w:line="240" w:lineRule="atLeast"/>
        <w:rPr>
          <w:rFonts w:ascii="Verdana" w:hAnsi="Verdana"/>
          <w:i/>
          <w:iCs/>
          <w:sz w:val="18"/>
          <w:szCs w:val="18"/>
        </w:rPr>
      </w:pPr>
      <w:r w:rsidRPr="00C245E3">
        <w:rPr>
          <w:rFonts w:ascii="Verdana" w:hAnsi="Verdana"/>
          <w:i/>
          <w:sz w:val="18"/>
          <w:szCs w:val="18"/>
        </w:rPr>
        <w:t>4.4 Recommendation</w:t>
      </w:r>
    </w:p>
    <w:p w14:paraId="7F400F74" w14:textId="371B5F91" w:rsidR="00DD71C3" w:rsidRPr="00C245E3" w:rsidRDefault="283477C2" w:rsidP="00C245E3">
      <w:pPr>
        <w:spacing w:line="240" w:lineRule="atLeast"/>
        <w:rPr>
          <w:rFonts w:ascii="Verdana" w:hAnsi="Verdana"/>
          <w:sz w:val="18"/>
          <w:szCs w:val="18"/>
        </w:rPr>
      </w:pPr>
      <w:r w:rsidRPr="00C245E3">
        <w:rPr>
          <w:rFonts w:ascii="Verdana" w:hAnsi="Verdana"/>
          <w:sz w:val="18"/>
          <w:szCs w:val="18"/>
        </w:rPr>
        <w:t xml:space="preserve">If a lead party is considering submitting a grant application on behalf of a partnership, it is required to first request a recommendation from RVO based on a quick scan submitted for that purpose. The quick scan must </w:t>
      </w:r>
      <w:r w:rsidR="00DC5CEA" w:rsidRPr="00C245E3">
        <w:rPr>
          <w:rFonts w:ascii="Verdana" w:hAnsi="Verdana"/>
          <w:sz w:val="18"/>
          <w:szCs w:val="18"/>
        </w:rPr>
        <w:t xml:space="preserve">provide information </w:t>
      </w:r>
      <w:r w:rsidRPr="00C245E3">
        <w:rPr>
          <w:rFonts w:ascii="Verdana" w:hAnsi="Verdana"/>
          <w:sz w:val="18"/>
          <w:szCs w:val="18"/>
        </w:rPr>
        <w:t>about the proposed project in relation to one of the four themes and be drawn up using the template provided by RVO.</w:t>
      </w:r>
      <w:r w:rsidR="005F50D0" w:rsidRPr="00C245E3">
        <w:rPr>
          <w:rStyle w:val="Voetnootmarkering"/>
          <w:rFonts w:ascii="Verdana" w:hAnsi="Verdana"/>
          <w:sz w:val="18"/>
          <w:szCs w:val="18"/>
        </w:rPr>
        <w:footnoteReference w:id="11"/>
      </w:r>
    </w:p>
    <w:p w14:paraId="5BF1CF71" w14:textId="77777777" w:rsidR="00DD71C3" w:rsidRPr="00C245E3" w:rsidRDefault="283477C2" w:rsidP="00C245E3">
      <w:pPr>
        <w:spacing w:line="240" w:lineRule="atLeast"/>
        <w:rPr>
          <w:rFonts w:ascii="Verdana" w:hAnsi="Verdana"/>
          <w:sz w:val="18"/>
          <w:szCs w:val="18"/>
        </w:rPr>
      </w:pPr>
      <w:r w:rsidRPr="00C245E3">
        <w:rPr>
          <w:rFonts w:ascii="Verdana" w:hAnsi="Verdana"/>
          <w:sz w:val="18"/>
          <w:szCs w:val="18"/>
        </w:rPr>
        <w:t>The recommendation issued by RVO to the lead party is non-binding. It is up to the lead party to decide whether or not to subsequently submit an application. If the lead party decides to submit an application, it is responsible for demonstrating that the partnership satisfies the criteria to be eligible for a grant.</w:t>
      </w:r>
    </w:p>
    <w:p w14:paraId="0BF42240" w14:textId="77777777" w:rsidR="00DD71C3" w:rsidRPr="00C245E3" w:rsidRDefault="283477C2" w:rsidP="00C245E3">
      <w:pPr>
        <w:spacing w:line="240" w:lineRule="atLeast"/>
        <w:rPr>
          <w:rFonts w:ascii="Verdana" w:hAnsi="Verdana"/>
          <w:iCs/>
          <w:sz w:val="18"/>
          <w:szCs w:val="18"/>
        </w:rPr>
      </w:pPr>
      <w:r w:rsidRPr="00C245E3">
        <w:rPr>
          <w:rFonts w:ascii="Verdana" w:hAnsi="Verdana"/>
          <w:sz w:val="18"/>
          <w:szCs w:val="18"/>
        </w:rPr>
        <w:t xml:space="preserve">As it can take up to eight weeks for RVO to issue a recommendation, lead parties should submit a quick scan no less than 16 weeks before the deadline for applications in a particular funding round, in order to allow sufficient time to continue preparing the application on the basis of the recommendation. </w:t>
      </w:r>
    </w:p>
    <w:p w14:paraId="2FD29A03" w14:textId="77777777" w:rsidR="00C21D21" w:rsidRPr="00C245E3" w:rsidRDefault="00C21D21" w:rsidP="00C245E3">
      <w:pPr>
        <w:spacing w:line="240" w:lineRule="atLeast"/>
        <w:rPr>
          <w:rFonts w:ascii="Verdana" w:hAnsi="Verdana"/>
          <w:i/>
          <w:iCs/>
          <w:sz w:val="18"/>
          <w:szCs w:val="18"/>
        </w:rPr>
      </w:pPr>
    </w:p>
    <w:p w14:paraId="3D6B37BC" w14:textId="77777777" w:rsidR="00C872D6" w:rsidRPr="00C245E3" w:rsidRDefault="283477C2" w:rsidP="00C245E3">
      <w:pPr>
        <w:spacing w:line="240" w:lineRule="atLeast"/>
        <w:rPr>
          <w:rFonts w:ascii="Verdana" w:hAnsi="Verdana"/>
          <w:i/>
          <w:iCs/>
          <w:sz w:val="18"/>
          <w:szCs w:val="18"/>
        </w:rPr>
      </w:pPr>
      <w:r w:rsidRPr="00C245E3">
        <w:rPr>
          <w:rFonts w:ascii="Verdana" w:hAnsi="Verdana"/>
          <w:i/>
          <w:sz w:val="18"/>
          <w:szCs w:val="18"/>
        </w:rPr>
        <w:t xml:space="preserve">4.5 Eligible activities </w:t>
      </w:r>
    </w:p>
    <w:p w14:paraId="1BFB52C9" w14:textId="6673AE68" w:rsidR="00EA167E" w:rsidRPr="00C245E3" w:rsidRDefault="283477C2" w:rsidP="00C245E3">
      <w:pPr>
        <w:spacing w:line="240" w:lineRule="atLeast"/>
        <w:rPr>
          <w:rFonts w:ascii="Verdana" w:hAnsi="Verdana"/>
          <w:sz w:val="18"/>
          <w:szCs w:val="18"/>
        </w:rPr>
      </w:pPr>
      <w:r w:rsidRPr="00C245E3">
        <w:rPr>
          <w:rFonts w:ascii="Verdana" w:hAnsi="Verdana"/>
          <w:sz w:val="18"/>
          <w:szCs w:val="18"/>
        </w:rPr>
        <w:t>To be eligible for a Dutch Diamonds grant, the application must describe a systematic, comprehensive approach made up of activities aimed at a common objective (‘project’)</w:t>
      </w:r>
      <w:r w:rsidR="009C0907" w:rsidRPr="00C245E3">
        <w:rPr>
          <w:rFonts w:ascii="Verdana" w:hAnsi="Verdana"/>
          <w:sz w:val="18"/>
          <w:szCs w:val="18"/>
        </w:rPr>
        <w:t>. The project</w:t>
      </w:r>
      <w:r w:rsidRPr="00C245E3">
        <w:rPr>
          <w:rFonts w:ascii="Verdana" w:hAnsi="Verdana"/>
          <w:sz w:val="18"/>
          <w:szCs w:val="18"/>
        </w:rPr>
        <w:t xml:space="preserve"> must contribute to the goals set out in section 4.1 and be aimed at </w:t>
      </w:r>
      <w:r w:rsidR="008D4F42" w:rsidRPr="00C245E3">
        <w:rPr>
          <w:rFonts w:ascii="Verdana" w:hAnsi="Verdana"/>
          <w:sz w:val="18"/>
          <w:szCs w:val="18"/>
        </w:rPr>
        <w:t xml:space="preserve">only </w:t>
      </w:r>
      <w:r w:rsidRPr="00C245E3">
        <w:rPr>
          <w:rFonts w:ascii="Verdana" w:hAnsi="Verdana"/>
          <w:sz w:val="18"/>
          <w:szCs w:val="18"/>
        </w:rPr>
        <w:t xml:space="preserve">one of the themes described under </w:t>
      </w:r>
      <w:r w:rsidR="00343883" w:rsidRPr="00C245E3">
        <w:rPr>
          <w:rFonts w:ascii="Verdana" w:hAnsi="Verdana"/>
          <w:sz w:val="18"/>
          <w:szCs w:val="18"/>
        </w:rPr>
        <w:t>a</w:t>
      </w:r>
      <w:r w:rsidRPr="00C245E3">
        <w:rPr>
          <w:rFonts w:ascii="Verdana" w:hAnsi="Verdana"/>
          <w:sz w:val="18"/>
          <w:szCs w:val="18"/>
        </w:rPr>
        <w:t xml:space="preserve"> to </w:t>
      </w:r>
      <w:r w:rsidR="00343883" w:rsidRPr="00C245E3">
        <w:rPr>
          <w:rFonts w:ascii="Verdana" w:hAnsi="Verdana"/>
          <w:sz w:val="18"/>
          <w:szCs w:val="18"/>
        </w:rPr>
        <w:t>d</w:t>
      </w:r>
      <w:r w:rsidRPr="00C245E3">
        <w:rPr>
          <w:rFonts w:ascii="Verdana" w:hAnsi="Verdana"/>
          <w:sz w:val="18"/>
          <w:szCs w:val="18"/>
        </w:rPr>
        <w:t xml:space="preserve"> below. Climate is a key cross-cutting theme for all projects.</w:t>
      </w:r>
    </w:p>
    <w:p w14:paraId="0946E853" w14:textId="77777777" w:rsidR="00276D1D" w:rsidRPr="00C245E3" w:rsidRDefault="00276D1D" w:rsidP="00C245E3">
      <w:pPr>
        <w:pStyle w:val="Geenafstand"/>
        <w:numPr>
          <w:ilvl w:val="0"/>
          <w:numId w:val="11"/>
        </w:numPr>
        <w:spacing w:after="160" w:line="240" w:lineRule="atLeast"/>
        <w:ind w:left="284" w:hanging="284"/>
        <w:rPr>
          <w:rFonts w:ascii="Verdana" w:hAnsi="Verdana"/>
          <w:sz w:val="18"/>
          <w:szCs w:val="18"/>
        </w:rPr>
      </w:pPr>
      <w:r w:rsidRPr="00C245E3">
        <w:rPr>
          <w:rFonts w:ascii="Verdana" w:hAnsi="Verdana"/>
          <w:sz w:val="18"/>
          <w:szCs w:val="18"/>
        </w:rPr>
        <w:t>Water</w:t>
      </w:r>
    </w:p>
    <w:p w14:paraId="004B7EAA" w14:textId="77777777" w:rsidR="00276D1D" w:rsidRPr="00C245E3" w:rsidRDefault="00276D1D" w:rsidP="00C245E3">
      <w:pPr>
        <w:pStyle w:val="Geenafstand"/>
        <w:numPr>
          <w:ilvl w:val="0"/>
          <w:numId w:val="11"/>
        </w:numPr>
        <w:spacing w:after="160" w:line="240" w:lineRule="atLeast"/>
        <w:ind w:left="284" w:hanging="284"/>
        <w:rPr>
          <w:rFonts w:ascii="Verdana" w:hAnsi="Verdana"/>
          <w:sz w:val="18"/>
          <w:szCs w:val="18"/>
        </w:rPr>
      </w:pPr>
      <w:r w:rsidRPr="00C245E3">
        <w:rPr>
          <w:rFonts w:ascii="Verdana" w:hAnsi="Verdana"/>
          <w:sz w:val="18"/>
          <w:szCs w:val="18"/>
        </w:rPr>
        <w:t>Food security</w:t>
      </w:r>
    </w:p>
    <w:p w14:paraId="6B46F04F" w14:textId="77777777" w:rsidR="005F1F46" w:rsidRPr="00C245E3" w:rsidRDefault="00276D1D" w:rsidP="00C245E3">
      <w:pPr>
        <w:pStyle w:val="Geenafstand"/>
        <w:numPr>
          <w:ilvl w:val="0"/>
          <w:numId w:val="11"/>
        </w:numPr>
        <w:spacing w:after="160" w:line="240" w:lineRule="atLeast"/>
        <w:ind w:left="284" w:hanging="284"/>
        <w:rPr>
          <w:rFonts w:ascii="Verdana" w:hAnsi="Verdana"/>
          <w:sz w:val="18"/>
          <w:szCs w:val="18"/>
        </w:rPr>
      </w:pPr>
      <w:r w:rsidRPr="00C245E3">
        <w:rPr>
          <w:rFonts w:ascii="Verdana" w:hAnsi="Verdana"/>
          <w:sz w:val="18"/>
          <w:szCs w:val="18"/>
        </w:rPr>
        <w:t>Water – food security nexus</w:t>
      </w:r>
    </w:p>
    <w:p w14:paraId="1B7DFB84" w14:textId="109850DC" w:rsidR="00276D1D" w:rsidRPr="00C245E3" w:rsidRDefault="005F1F46" w:rsidP="00C245E3">
      <w:pPr>
        <w:pStyle w:val="Geenafstand"/>
        <w:numPr>
          <w:ilvl w:val="0"/>
          <w:numId w:val="11"/>
        </w:numPr>
        <w:spacing w:after="160" w:line="240" w:lineRule="atLeast"/>
        <w:ind w:left="284" w:hanging="284"/>
        <w:rPr>
          <w:rFonts w:ascii="Verdana" w:hAnsi="Verdana"/>
          <w:sz w:val="18"/>
          <w:szCs w:val="18"/>
        </w:rPr>
      </w:pPr>
      <w:r w:rsidRPr="00C245E3">
        <w:rPr>
          <w:rFonts w:ascii="Verdana" w:hAnsi="Verdana"/>
          <w:sz w:val="18"/>
          <w:szCs w:val="18"/>
        </w:rPr>
        <w:t xml:space="preserve">Sustainable market development in specific other sectors and value chains linked to specific partner countries (see appendix 1). </w:t>
      </w:r>
    </w:p>
    <w:p w14:paraId="4B26BFB5" w14:textId="77777777" w:rsidR="005F1F46" w:rsidRPr="00C245E3" w:rsidRDefault="005F1F46" w:rsidP="00C245E3">
      <w:pPr>
        <w:spacing w:line="240" w:lineRule="atLeast"/>
        <w:rPr>
          <w:rFonts w:ascii="Verdana" w:hAnsi="Verdana"/>
          <w:sz w:val="18"/>
          <w:szCs w:val="18"/>
        </w:rPr>
      </w:pPr>
    </w:p>
    <w:p w14:paraId="28956AE8" w14:textId="77777777" w:rsidR="00DA570F" w:rsidRPr="00C245E3" w:rsidRDefault="283477C2" w:rsidP="00C245E3">
      <w:pPr>
        <w:spacing w:line="240" w:lineRule="atLeast"/>
        <w:rPr>
          <w:rFonts w:ascii="Verdana" w:hAnsi="Verdana"/>
          <w:sz w:val="18"/>
          <w:szCs w:val="18"/>
        </w:rPr>
      </w:pPr>
      <w:r w:rsidRPr="00C245E3">
        <w:rPr>
          <w:rFonts w:ascii="Verdana" w:hAnsi="Verdana"/>
          <w:sz w:val="18"/>
          <w:szCs w:val="18"/>
        </w:rPr>
        <w:t>An application may concern no more than one partner country from the list in appendix 1, unless:</w:t>
      </w:r>
    </w:p>
    <w:p w14:paraId="07330C31" w14:textId="77777777" w:rsidR="00DA570F" w:rsidRPr="00C245E3" w:rsidRDefault="283477C2" w:rsidP="00C245E3">
      <w:pPr>
        <w:pStyle w:val="Lijstalinea"/>
        <w:numPr>
          <w:ilvl w:val="0"/>
          <w:numId w:val="20"/>
        </w:numPr>
        <w:spacing w:line="240" w:lineRule="atLeast"/>
        <w:rPr>
          <w:rFonts w:ascii="Verdana" w:hAnsi="Verdana"/>
          <w:sz w:val="18"/>
          <w:szCs w:val="18"/>
        </w:rPr>
      </w:pPr>
      <w:r w:rsidRPr="00C245E3">
        <w:rPr>
          <w:rFonts w:ascii="Verdana" w:hAnsi="Verdana"/>
          <w:sz w:val="18"/>
          <w:szCs w:val="18"/>
        </w:rPr>
        <w:t>the proposed project aims to improve the transboundary management of a river, lake, catchment area or ecosystem that extends across multiple partner countries;</w:t>
      </w:r>
    </w:p>
    <w:p w14:paraId="4C677955" w14:textId="2A52B3BF" w:rsidR="00252167" w:rsidRPr="00C245E3" w:rsidRDefault="00252167" w:rsidP="00C245E3">
      <w:pPr>
        <w:pStyle w:val="Lijstalinea"/>
        <w:numPr>
          <w:ilvl w:val="0"/>
          <w:numId w:val="20"/>
        </w:numPr>
        <w:spacing w:line="240" w:lineRule="atLeast"/>
        <w:rPr>
          <w:rFonts w:ascii="Verdana" w:hAnsi="Verdana"/>
          <w:sz w:val="18"/>
          <w:szCs w:val="18"/>
        </w:rPr>
      </w:pPr>
      <w:r w:rsidRPr="00C245E3">
        <w:rPr>
          <w:rFonts w:ascii="Verdana" w:hAnsi="Verdana"/>
          <w:sz w:val="18"/>
          <w:szCs w:val="18"/>
        </w:rPr>
        <w:t>the application concerns activities that tie in directly with one of the Dutch Global Gateway flagship projects, i.e. the Northern Corridor and the Lobito Corridor</w:t>
      </w:r>
      <w:r w:rsidRPr="00C245E3">
        <w:rPr>
          <w:rStyle w:val="Voetnootmarkering"/>
          <w:rFonts w:ascii="Verdana" w:hAnsi="Verdana"/>
          <w:sz w:val="18"/>
          <w:szCs w:val="18"/>
        </w:rPr>
        <w:footnoteReference w:id="12"/>
      </w:r>
      <w:r w:rsidRPr="00C245E3">
        <w:rPr>
          <w:rFonts w:ascii="Verdana" w:hAnsi="Verdana"/>
          <w:sz w:val="18"/>
          <w:szCs w:val="18"/>
        </w:rPr>
        <w:t xml:space="preserve"> that extends across multiple partner countries; </w:t>
      </w:r>
    </w:p>
    <w:p w14:paraId="38A6A14C" w14:textId="77777777" w:rsidR="10CC416F" w:rsidRPr="00C245E3" w:rsidRDefault="002C6649" w:rsidP="00C245E3">
      <w:pPr>
        <w:pStyle w:val="Lijstalinea"/>
        <w:numPr>
          <w:ilvl w:val="0"/>
          <w:numId w:val="20"/>
        </w:numPr>
        <w:spacing w:line="240" w:lineRule="atLeast"/>
        <w:rPr>
          <w:rFonts w:ascii="Verdana" w:hAnsi="Verdana"/>
          <w:sz w:val="18"/>
          <w:szCs w:val="18"/>
        </w:rPr>
      </w:pPr>
      <w:r w:rsidRPr="00C245E3">
        <w:rPr>
          <w:rFonts w:ascii="Verdana" w:hAnsi="Verdana"/>
          <w:sz w:val="18"/>
          <w:szCs w:val="18"/>
        </w:rPr>
        <w:t>convincing reasons are given for why the proposed activities can only be implemented through a multi-country approach.</w:t>
      </w:r>
    </w:p>
    <w:p w14:paraId="6B86BE44" w14:textId="77777777" w:rsidR="00DA570F" w:rsidRPr="00C245E3" w:rsidRDefault="00DA570F" w:rsidP="00C245E3">
      <w:pPr>
        <w:spacing w:line="240" w:lineRule="atLeast"/>
        <w:rPr>
          <w:rFonts w:ascii="Verdana" w:hAnsi="Verdana"/>
          <w:sz w:val="18"/>
          <w:szCs w:val="18"/>
        </w:rPr>
      </w:pPr>
    </w:p>
    <w:p w14:paraId="2B3E38DB" w14:textId="7C53395C" w:rsidR="001F1C34" w:rsidRPr="00C245E3" w:rsidRDefault="283477C2" w:rsidP="00C245E3">
      <w:pPr>
        <w:spacing w:line="240" w:lineRule="atLeast"/>
        <w:rPr>
          <w:rFonts w:ascii="Verdana" w:hAnsi="Verdana"/>
          <w:sz w:val="18"/>
          <w:szCs w:val="18"/>
        </w:rPr>
      </w:pPr>
      <w:r w:rsidRPr="00C245E3">
        <w:rPr>
          <w:rFonts w:ascii="Verdana" w:hAnsi="Verdana"/>
          <w:sz w:val="18"/>
          <w:szCs w:val="18"/>
        </w:rPr>
        <w:t xml:space="preserve">An application under theme </w:t>
      </w:r>
      <w:r w:rsidR="00343883" w:rsidRPr="00C245E3">
        <w:rPr>
          <w:rFonts w:ascii="Verdana" w:hAnsi="Verdana"/>
          <w:sz w:val="18"/>
          <w:szCs w:val="18"/>
        </w:rPr>
        <w:t>d</w:t>
      </w:r>
      <w:r w:rsidRPr="00C245E3">
        <w:rPr>
          <w:rFonts w:ascii="Verdana" w:hAnsi="Verdana"/>
          <w:sz w:val="18"/>
          <w:szCs w:val="18"/>
        </w:rPr>
        <w:t xml:space="preserve"> must concern one of the partner country–sector/value chain combinations listed in appendix 1.</w:t>
      </w:r>
    </w:p>
    <w:p w14:paraId="0D17F0AB" w14:textId="77777777" w:rsidR="001F1C34" w:rsidRPr="00C245E3" w:rsidRDefault="001F1C34" w:rsidP="00C245E3">
      <w:pPr>
        <w:spacing w:line="240" w:lineRule="atLeast"/>
        <w:rPr>
          <w:rFonts w:ascii="Verdana" w:hAnsi="Verdana"/>
          <w:sz w:val="18"/>
          <w:szCs w:val="18"/>
          <w:u w:val="single"/>
        </w:rPr>
      </w:pPr>
    </w:p>
    <w:p w14:paraId="6A78920E" w14:textId="77777777" w:rsidR="00276D1D" w:rsidRPr="00C245E3" w:rsidRDefault="283477C2" w:rsidP="00C245E3">
      <w:pPr>
        <w:spacing w:line="240" w:lineRule="atLeast"/>
        <w:rPr>
          <w:rFonts w:ascii="Verdana" w:hAnsi="Verdana"/>
          <w:sz w:val="18"/>
          <w:szCs w:val="18"/>
          <w:u w:val="single"/>
        </w:rPr>
      </w:pPr>
      <w:r w:rsidRPr="00C245E3">
        <w:rPr>
          <w:rFonts w:ascii="Verdana" w:hAnsi="Verdana"/>
          <w:sz w:val="18"/>
          <w:szCs w:val="18"/>
          <w:u w:val="single"/>
        </w:rPr>
        <w:t>a. Water</w:t>
      </w:r>
    </w:p>
    <w:p w14:paraId="2E881D4C" w14:textId="5C26182F" w:rsidR="00A052FA" w:rsidRPr="00C245E3" w:rsidRDefault="001E7B92" w:rsidP="00C245E3">
      <w:pPr>
        <w:spacing w:line="240" w:lineRule="atLeast"/>
        <w:rPr>
          <w:rFonts w:ascii="Verdana" w:hAnsi="Verdana"/>
          <w:sz w:val="18"/>
          <w:szCs w:val="18"/>
        </w:rPr>
      </w:pPr>
      <w:r w:rsidRPr="00C245E3">
        <w:rPr>
          <w:rFonts w:ascii="Verdana" w:hAnsi="Verdana"/>
          <w:sz w:val="18"/>
          <w:szCs w:val="18"/>
        </w:rPr>
        <w:t xml:space="preserve">Activities under this theme should contribute to flood safety and water security. This concerns both access to water and the mitigation of water-related risks (too much water, too little water, polluted water). The theme encompasses, for instance, improved access to drinking water and sanitation </w:t>
      </w:r>
      <w:r w:rsidRPr="00C245E3">
        <w:rPr>
          <w:rFonts w:ascii="Verdana" w:hAnsi="Verdana"/>
          <w:sz w:val="18"/>
          <w:szCs w:val="18"/>
        </w:rPr>
        <w:lastRenderedPageBreak/>
        <w:t xml:space="preserve">(WASH), water management and data management (in industrial sectors), and water governance and integrated water resources management (IWRM). Dealing with water-related risks in agriculture or food processing falls under water–food security nexus (theme </w:t>
      </w:r>
      <w:r w:rsidR="00343883" w:rsidRPr="00C245E3">
        <w:rPr>
          <w:rFonts w:ascii="Verdana" w:hAnsi="Verdana"/>
          <w:sz w:val="18"/>
          <w:szCs w:val="18"/>
        </w:rPr>
        <w:t>c</w:t>
      </w:r>
      <w:r w:rsidRPr="00C245E3">
        <w:rPr>
          <w:rFonts w:ascii="Verdana" w:hAnsi="Verdana"/>
          <w:sz w:val="18"/>
          <w:szCs w:val="18"/>
        </w:rPr>
        <w:t>).</w:t>
      </w:r>
    </w:p>
    <w:p w14:paraId="30FACCB9" w14:textId="77777777" w:rsidR="009466EB" w:rsidRPr="00C245E3" w:rsidRDefault="009466EB" w:rsidP="00C245E3">
      <w:p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Examples:</w:t>
      </w:r>
    </w:p>
    <w:p w14:paraId="208CABD4" w14:textId="77777777" w:rsidR="009466EB" w:rsidRPr="00C245E3" w:rsidRDefault="009466EB" w:rsidP="00C245E3">
      <w:pPr>
        <w:pStyle w:val="Lijstalinea"/>
        <w:numPr>
          <w:ilvl w:val="0"/>
          <w:numId w:val="17"/>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 xml:space="preserve">Drinking water and sanitation (WASH): access to safe drinking water, sanitary facilities and hygiene. Introduction of improved, paid water services. Introduction of concepts based on circularity principles, such as faecal sludge management. </w:t>
      </w:r>
    </w:p>
    <w:p w14:paraId="4FA89697" w14:textId="77777777" w:rsidR="009466EB" w:rsidRPr="00C245E3" w:rsidRDefault="009466EB" w:rsidP="00C245E3">
      <w:pPr>
        <w:pStyle w:val="Lijstalinea"/>
        <w:numPr>
          <w:ilvl w:val="0"/>
          <w:numId w:val="17"/>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 xml:space="preserve">Digitalisation and data management for IWRM: implementing decision-making tools, early warning systems and/or monitoring strategies. </w:t>
      </w:r>
    </w:p>
    <w:p w14:paraId="11A61000" w14:textId="77777777" w:rsidR="009466EB" w:rsidRPr="00C245E3" w:rsidRDefault="009466EB" w:rsidP="00C245E3">
      <w:pPr>
        <w:pStyle w:val="Lijstalinea"/>
        <w:numPr>
          <w:ilvl w:val="0"/>
          <w:numId w:val="17"/>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Good water management in industry: sector-wide implementation of techniques for efficient water use and wastewater treatment.</w:t>
      </w:r>
    </w:p>
    <w:p w14:paraId="2AC08E1E" w14:textId="396DB71A" w:rsidR="009466EB" w:rsidRPr="00C245E3" w:rsidRDefault="009466EB" w:rsidP="00C245E3">
      <w:pPr>
        <w:pStyle w:val="Lijstalinea"/>
        <w:numPr>
          <w:ilvl w:val="0"/>
          <w:numId w:val="17"/>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Flood safety and delta management: flood defences, coastal protection, dikes, delta programmes, flood safety in urban areas.</w:t>
      </w:r>
    </w:p>
    <w:p w14:paraId="3818DEA1" w14:textId="77777777" w:rsidR="009466EB" w:rsidRPr="00C245E3" w:rsidRDefault="009466EB" w:rsidP="00C245E3">
      <w:pPr>
        <w:pStyle w:val="Lijstalinea"/>
        <w:numPr>
          <w:ilvl w:val="0"/>
          <w:numId w:val="17"/>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Urban water/wastewater systems: sewage systems, wastewater treatment, urban drainage, water quality.</w:t>
      </w:r>
    </w:p>
    <w:p w14:paraId="2D219623" w14:textId="77777777" w:rsidR="009466EB" w:rsidRPr="00C245E3" w:rsidRDefault="009466EB" w:rsidP="00C245E3">
      <w:pPr>
        <w:pStyle w:val="Lijstalinea"/>
        <w:numPr>
          <w:ilvl w:val="0"/>
          <w:numId w:val="17"/>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Water and climate adaptation: droughts, flooding, making vulnerable areas more resilient, nature-based solutions.</w:t>
      </w:r>
    </w:p>
    <w:p w14:paraId="7C8999C6" w14:textId="77777777" w:rsidR="009466EB" w:rsidRPr="00C245E3" w:rsidRDefault="009466EB" w:rsidP="00C245E3">
      <w:pPr>
        <w:spacing w:line="240" w:lineRule="atLeast"/>
        <w:rPr>
          <w:rFonts w:ascii="Verdana" w:hAnsi="Verdana"/>
          <w:sz w:val="18"/>
          <w:szCs w:val="18"/>
          <w:u w:val="single"/>
        </w:rPr>
      </w:pPr>
    </w:p>
    <w:p w14:paraId="45DD31B2" w14:textId="77777777" w:rsidR="00276D1D" w:rsidRPr="00C245E3" w:rsidRDefault="283477C2" w:rsidP="00C245E3">
      <w:pPr>
        <w:spacing w:line="240" w:lineRule="atLeast"/>
        <w:rPr>
          <w:rFonts w:ascii="Verdana" w:hAnsi="Verdana"/>
          <w:sz w:val="18"/>
          <w:szCs w:val="18"/>
          <w:u w:val="single"/>
        </w:rPr>
      </w:pPr>
      <w:r w:rsidRPr="00C245E3">
        <w:rPr>
          <w:rFonts w:ascii="Verdana" w:hAnsi="Verdana"/>
          <w:sz w:val="18"/>
          <w:szCs w:val="18"/>
          <w:u w:val="single"/>
        </w:rPr>
        <w:t>b. Food security</w:t>
      </w:r>
    </w:p>
    <w:p w14:paraId="51C861BD" w14:textId="77777777" w:rsidR="00A052FA" w:rsidRPr="00C245E3" w:rsidRDefault="00F87C40" w:rsidP="00C245E3">
      <w:pPr>
        <w:spacing w:line="240" w:lineRule="atLeast"/>
        <w:rPr>
          <w:rFonts w:ascii="Verdana" w:hAnsi="Verdana"/>
          <w:sz w:val="18"/>
          <w:szCs w:val="18"/>
        </w:rPr>
      </w:pPr>
      <w:r w:rsidRPr="00C245E3">
        <w:rPr>
          <w:rFonts w:ascii="Verdana" w:hAnsi="Verdana"/>
          <w:sz w:val="18"/>
          <w:szCs w:val="18"/>
        </w:rPr>
        <w:t xml:space="preserve">Activities under this theme should contribute to local food security. The term food security comprises availability (sufficient food is produced), access to enough good-quality food for all, the appropriate use of food, affordability for everyone, and stability of the food market. Activities aimed at sustainable export chains to enhance global food security and at non-food cash crops (such as coffee and cocoa) can be included under this theme if their added value for the local market and the local food situation can be demonstrated. </w:t>
      </w:r>
    </w:p>
    <w:tbl>
      <w:tblPr>
        <w:tblStyle w:val="Tabelraster"/>
        <w:tblW w:w="0" w:type="auto"/>
        <w:tblLook w:val="04A0" w:firstRow="1" w:lastRow="0" w:firstColumn="1" w:lastColumn="0" w:noHBand="0" w:noVBand="1"/>
      </w:tblPr>
      <w:tblGrid>
        <w:gridCol w:w="9062"/>
      </w:tblGrid>
      <w:tr w:rsidR="00636519" w:rsidRPr="00C245E3" w14:paraId="7106D89B" w14:textId="77777777" w:rsidTr="283477C2">
        <w:tc>
          <w:tcPr>
            <w:tcW w:w="9062" w:type="dxa"/>
          </w:tcPr>
          <w:p w14:paraId="424A2BA5" w14:textId="6A03A6E7" w:rsidR="00DB3493" w:rsidRPr="00C245E3" w:rsidRDefault="283477C2" w:rsidP="00C245E3">
            <w:pPr>
              <w:spacing w:after="160" w:line="240" w:lineRule="atLeast"/>
              <w:rPr>
                <w:rFonts w:ascii="Verdana" w:hAnsi="Verdana"/>
                <w:sz w:val="18"/>
                <w:szCs w:val="18"/>
              </w:rPr>
            </w:pPr>
            <w:r w:rsidRPr="00C245E3">
              <w:rPr>
                <w:rFonts w:ascii="Verdana" w:hAnsi="Verdana"/>
                <w:sz w:val="18"/>
                <w:szCs w:val="18"/>
              </w:rPr>
              <w:t xml:space="preserve">Examples: </w:t>
            </w:r>
          </w:p>
          <w:p w14:paraId="32793A20" w14:textId="77777777" w:rsidR="00636519" w:rsidRPr="00C245E3" w:rsidRDefault="283477C2" w:rsidP="00C245E3">
            <w:pPr>
              <w:spacing w:after="160" w:line="240" w:lineRule="atLeast"/>
              <w:rPr>
                <w:rFonts w:ascii="Verdana" w:hAnsi="Verdana"/>
                <w:sz w:val="18"/>
                <w:szCs w:val="18"/>
                <w:u w:val="single"/>
              </w:rPr>
            </w:pPr>
            <w:r w:rsidRPr="00C245E3">
              <w:rPr>
                <w:rFonts w:ascii="Verdana" w:hAnsi="Verdana"/>
                <w:sz w:val="18"/>
                <w:szCs w:val="18"/>
                <w:u w:val="single"/>
              </w:rPr>
              <w:t>Sustainable, climate-resilient agricultural production</w:t>
            </w:r>
          </w:p>
          <w:p w14:paraId="6FB7A7A7" w14:textId="77777777" w:rsidR="00636519" w:rsidRPr="00C245E3" w:rsidRDefault="283477C2" w:rsidP="00C245E3">
            <w:pPr>
              <w:pStyle w:val="Lijstalinea"/>
              <w:numPr>
                <w:ilvl w:val="0"/>
                <w:numId w:val="1"/>
              </w:numPr>
              <w:spacing w:after="160" w:line="240" w:lineRule="atLeast"/>
              <w:rPr>
                <w:rFonts w:ascii="Verdana" w:hAnsi="Verdana"/>
                <w:sz w:val="18"/>
                <w:szCs w:val="18"/>
              </w:rPr>
            </w:pPr>
            <w:r w:rsidRPr="00C245E3">
              <w:rPr>
                <w:rFonts w:ascii="Verdana" w:hAnsi="Verdana"/>
                <w:sz w:val="18"/>
                <w:szCs w:val="18"/>
              </w:rPr>
              <w:t>Increasing the productivity of smallholdings and subsistence farmers, with an emphasis on water-smart, good agricultural practices.</w:t>
            </w:r>
          </w:p>
          <w:p w14:paraId="73A79D30" w14:textId="77777777" w:rsidR="00636519" w:rsidRPr="00C245E3" w:rsidRDefault="283477C2" w:rsidP="00C245E3">
            <w:pPr>
              <w:pStyle w:val="Lijstalinea"/>
              <w:numPr>
                <w:ilvl w:val="0"/>
                <w:numId w:val="1"/>
              </w:numPr>
              <w:spacing w:after="160" w:line="240" w:lineRule="atLeast"/>
              <w:rPr>
                <w:rFonts w:ascii="Verdana" w:hAnsi="Verdana"/>
                <w:sz w:val="18"/>
                <w:szCs w:val="18"/>
              </w:rPr>
            </w:pPr>
            <w:r w:rsidRPr="00C245E3">
              <w:rPr>
                <w:rFonts w:ascii="Verdana" w:hAnsi="Verdana"/>
                <w:sz w:val="18"/>
                <w:szCs w:val="18"/>
              </w:rPr>
              <w:t>Seeds, fertilisers, plant protection products, agroecology.</w:t>
            </w:r>
          </w:p>
          <w:p w14:paraId="00462D75" w14:textId="77777777" w:rsidR="00636519" w:rsidRPr="00C245E3" w:rsidRDefault="283477C2" w:rsidP="00C245E3">
            <w:pPr>
              <w:pStyle w:val="Lijstalinea"/>
              <w:numPr>
                <w:ilvl w:val="0"/>
                <w:numId w:val="1"/>
              </w:numPr>
              <w:spacing w:after="160" w:line="240" w:lineRule="atLeast"/>
              <w:rPr>
                <w:rFonts w:ascii="Verdana" w:hAnsi="Verdana"/>
                <w:sz w:val="18"/>
                <w:szCs w:val="18"/>
              </w:rPr>
            </w:pPr>
            <w:r w:rsidRPr="00C245E3">
              <w:rPr>
                <w:rFonts w:ascii="Verdana" w:hAnsi="Verdana"/>
                <w:sz w:val="18"/>
                <w:szCs w:val="18"/>
              </w:rPr>
              <w:t>Diversifying production (moving away from monoculture) and regenerative agriculture.</w:t>
            </w:r>
          </w:p>
          <w:p w14:paraId="0A39BEC2" w14:textId="77777777" w:rsidR="00636519" w:rsidRPr="00C245E3" w:rsidRDefault="283477C2" w:rsidP="00C245E3">
            <w:pPr>
              <w:spacing w:after="160" w:line="240" w:lineRule="atLeast"/>
              <w:rPr>
                <w:rFonts w:ascii="Verdana" w:hAnsi="Verdana"/>
                <w:sz w:val="18"/>
                <w:szCs w:val="18"/>
                <w:u w:val="single"/>
              </w:rPr>
            </w:pPr>
            <w:r w:rsidRPr="00C245E3">
              <w:rPr>
                <w:rFonts w:ascii="Verdana" w:hAnsi="Verdana"/>
                <w:sz w:val="18"/>
                <w:szCs w:val="18"/>
                <w:u w:val="single"/>
              </w:rPr>
              <w:t>Markets, value chains and the private sector</w:t>
            </w:r>
          </w:p>
          <w:p w14:paraId="6457D564" w14:textId="77777777" w:rsidR="00636519" w:rsidRPr="00C245E3" w:rsidRDefault="283477C2" w:rsidP="00C245E3">
            <w:pPr>
              <w:pStyle w:val="Lijstalinea"/>
              <w:numPr>
                <w:ilvl w:val="0"/>
                <w:numId w:val="18"/>
              </w:numPr>
              <w:spacing w:after="160" w:line="240" w:lineRule="atLeast"/>
              <w:rPr>
                <w:rFonts w:ascii="Verdana" w:hAnsi="Verdana"/>
                <w:sz w:val="18"/>
                <w:szCs w:val="18"/>
              </w:rPr>
            </w:pPr>
            <w:r w:rsidRPr="00C245E3">
              <w:rPr>
                <w:rFonts w:ascii="Verdana" w:hAnsi="Verdana"/>
                <w:sz w:val="18"/>
                <w:szCs w:val="18"/>
              </w:rPr>
              <w:t>Improving access to local and regional markets.</w:t>
            </w:r>
          </w:p>
          <w:p w14:paraId="18A25105" w14:textId="77777777" w:rsidR="00636519" w:rsidRPr="00C245E3" w:rsidRDefault="283477C2" w:rsidP="00C245E3">
            <w:pPr>
              <w:pStyle w:val="Lijstalinea"/>
              <w:numPr>
                <w:ilvl w:val="0"/>
                <w:numId w:val="18"/>
              </w:numPr>
              <w:spacing w:after="160" w:line="240" w:lineRule="atLeast"/>
              <w:rPr>
                <w:rFonts w:ascii="Verdana" w:hAnsi="Verdana"/>
                <w:sz w:val="18"/>
                <w:szCs w:val="18"/>
              </w:rPr>
            </w:pPr>
            <w:r w:rsidRPr="00C245E3">
              <w:rPr>
                <w:rFonts w:ascii="Verdana" w:hAnsi="Verdana"/>
                <w:sz w:val="18"/>
                <w:szCs w:val="18"/>
              </w:rPr>
              <w:t>Improving food processing, transport and logistics: reducing food waste and food loss.</w:t>
            </w:r>
          </w:p>
          <w:p w14:paraId="0CE650EB" w14:textId="77777777" w:rsidR="00636519" w:rsidRPr="00C245E3" w:rsidRDefault="283477C2" w:rsidP="00C245E3">
            <w:pPr>
              <w:spacing w:after="160" w:line="240" w:lineRule="atLeast"/>
              <w:rPr>
                <w:rFonts w:ascii="Verdana" w:hAnsi="Verdana"/>
                <w:sz w:val="18"/>
                <w:szCs w:val="18"/>
                <w:u w:val="single"/>
              </w:rPr>
            </w:pPr>
            <w:r w:rsidRPr="00C245E3">
              <w:rPr>
                <w:rFonts w:ascii="Verdana" w:hAnsi="Verdana"/>
                <w:sz w:val="18"/>
                <w:szCs w:val="18"/>
                <w:u w:val="single"/>
              </w:rPr>
              <w:t>Food and nutrition</w:t>
            </w:r>
          </w:p>
          <w:p w14:paraId="7ABAFD64" w14:textId="77777777" w:rsidR="00636519" w:rsidRPr="00C245E3" w:rsidRDefault="283477C2" w:rsidP="00C245E3">
            <w:pPr>
              <w:pStyle w:val="Lijstalinea"/>
              <w:numPr>
                <w:ilvl w:val="0"/>
                <w:numId w:val="19"/>
              </w:numPr>
              <w:spacing w:after="160" w:line="240" w:lineRule="atLeast"/>
              <w:rPr>
                <w:rFonts w:ascii="Verdana" w:hAnsi="Verdana"/>
                <w:sz w:val="18"/>
                <w:szCs w:val="18"/>
              </w:rPr>
            </w:pPr>
            <w:r w:rsidRPr="00C245E3">
              <w:rPr>
                <w:rFonts w:ascii="Verdana" w:hAnsi="Verdana"/>
                <w:sz w:val="18"/>
                <w:szCs w:val="18"/>
              </w:rPr>
              <w:t>Food quality, not just quantity.</w:t>
            </w:r>
          </w:p>
          <w:p w14:paraId="7297E41B" w14:textId="77777777" w:rsidR="00636519" w:rsidRPr="00C245E3" w:rsidRDefault="283477C2" w:rsidP="00C245E3">
            <w:pPr>
              <w:pStyle w:val="Lijstalinea"/>
              <w:numPr>
                <w:ilvl w:val="0"/>
                <w:numId w:val="19"/>
              </w:numPr>
              <w:spacing w:after="160" w:line="240" w:lineRule="atLeast"/>
              <w:rPr>
                <w:rFonts w:ascii="Verdana" w:hAnsi="Verdana"/>
                <w:sz w:val="18"/>
                <w:szCs w:val="18"/>
              </w:rPr>
            </w:pPr>
            <w:r w:rsidRPr="00C245E3">
              <w:rPr>
                <w:rFonts w:ascii="Verdana" w:hAnsi="Verdana"/>
                <w:sz w:val="18"/>
                <w:szCs w:val="18"/>
              </w:rPr>
              <w:t>Undernourishment, micronutrient deficiencies, stunted growth in children.</w:t>
            </w:r>
          </w:p>
          <w:p w14:paraId="4816C689" w14:textId="77777777" w:rsidR="00636519" w:rsidRPr="00C245E3" w:rsidRDefault="283477C2" w:rsidP="00C245E3">
            <w:pPr>
              <w:pStyle w:val="Lijstalinea"/>
              <w:numPr>
                <w:ilvl w:val="0"/>
                <w:numId w:val="19"/>
              </w:numPr>
              <w:spacing w:after="160" w:line="240" w:lineRule="atLeast"/>
              <w:rPr>
                <w:rFonts w:ascii="Verdana" w:hAnsi="Verdana"/>
                <w:sz w:val="18"/>
                <w:szCs w:val="18"/>
              </w:rPr>
            </w:pPr>
            <w:r w:rsidRPr="00C245E3">
              <w:rPr>
                <w:rFonts w:ascii="Verdana" w:hAnsi="Verdana"/>
                <w:sz w:val="18"/>
                <w:szCs w:val="18"/>
              </w:rPr>
              <w:t>Often linked to healthcare, WASH and gender.</w:t>
            </w:r>
          </w:p>
          <w:p w14:paraId="0EE7E347" w14:textId="77777777" w:rsidR="00636519" w:rsidRPr="00C245E3" w:rsidRDefault="00DB3493" w:rsidP="00C245E3">
            <w:pPr>
              <w:spacing w:after="160" w:line="240" w:lineRule="atLeast"/>
              <w:rPr>
                <w:rFonts w:ascii="Verdana" w:hAnsi="Verdana"/>
                <w:sz w:val="18"/>
                <w:szCs w:val="18"/>
              </w:rPr>
            </w:pPr>
            <w:r w:rsidRPr="00C245E3">
              <w:rPr>
                <w:rFonts w:ascii="Verdana" w:hAnsi="Verdana"/>
                <w:sz w:val="18"/>
                <w:szCs w:val="18"/>
              </w:rPr>
              <w:t>Governance, land rights and inclusion – for instance, contributing to policy frameworks, building institutions and food and agriculture policy – are relevant to all the examples above.</w:t>
            </w:r>
          </w:p>
        </w:tc>
      </w:tr>
    </w:tbl>
    <w:p w14:paraId="2EB0ACE5" w14:textId="77777777" w:rsidR="00A52D89" w:rsidRPr="00C245E3" w:rsidRDefault="00A52D89" w:rsidP="00C245E3">
      <w:pPr>
        <w:spacing w:line="240" w:lineRule="atLeast"/>
        <w:rPr>
          <w:rFonts w:ascii="Verdana" w:hAnsi="Verdana"/>
          <w:sz w:val="18"/>
          <w:szCs w:val="18"/>
        </w:rPr>
      </w:pPr>
    </w:p>
    <w:p w14:paraId="4AE586F6" w14:textId="77777777" w:rsidR="00276D1D" w:rsidRPr="00C245E3" w:rsidRDefault="283477C2" w:rsidP="00C245E3">
      <w:pPr>
        <w:pStyle w:val="Geenafstand"/>
        <w:spacing w:after="160" w:line="240" w:lineRule="atLeast"/>
        <w:rPr>
          <w:rFonts w:ascii="Verdana" w:hAnsi="Verdana"/>
          <w:sz w:val="18"/>
          <w:szCs w:val="18"/>
          <w:u w:val="single"/>
        </w:rPr>
      </w:pPr>
      <w:r w:rsidRPr="00C245E3">
        <w:rPr>
          <w:rFonts w:ascii="Verdana" w:hAnsi="Verdana"/>
          <w:sz w:val="18"/>
          <w:szCs w:val="18"/>
          <w:u w:val="single"/>
        </w:rPr>
        <w:t>c. Water – food security nexus</w:t>
      </w:r>
    </w:p>
    <w:p w14:paraId="627766EE" w14:textId="147E70C4" w:rsidR="00276D1D" w:rsidRPr="00C245E3" w:rsidRDefault="0089745F" w:rsidP="00C245E3">
      <w:pPr>
        <w:spacing w:line="240" w:lineRule="atLeast"/>
        <w:rPr>
          <w:rFonts w:ascii="Verdana" w:hAnsi="Verdana"/>
          <w:sz w:val="18"/>
          <w:szCs w:val="18"/>
        </w:rPr>
      </w:pPr>
      <w:r w:rsidRPr="00C245E3">
        <w:rPr>
          <w:rFonts w:ascii="Verdana" w:hAnsi="Verdana"/>
          <w:sz w:val="18"/>
          <w:szCs w:val="18"/>
        </w:rPr>
        <w:t xml:space="preserve">This theme calls for integrated approaches to achieve good water management and sustainable water use in the food and agriculture sectors. This requires collaboration between parties active in the areas of water and food security. Intersectoral collaboration (and thus a partnership made up of partners from the various sectors, see section 4.3) is a requirement for grant applications under this theme. This also clarifies how this theme differs from the other three. In addition, projects </w:t>
      </w:r>
      <w:r w:rsidRPr="00C245E3">
        <w:rPr>
          <w:rFonts w:ascii="Verdana" w:hAnsi="Verdana"/>
          <w:sz w:val="18"/>
          <w:szCs w:val="18"/>
        </w:rPr>
        <w:lastRenderedPageBreak/>
        <w:t xml:space="preserve">under this theme must follow a whole-landscape approach. Efficient water use in the cultivation of crops and in the value chain is important, but not sufficient on its own. Projects must look at the entire water system, and consider the total availability of water in relation to water consumption at catchment area level. This prevents a system’s carrying capacity from being exceeded, and ensures all users (including biodiversity and ecosystems) have access to sufficient supplies of good quality water. </w:t>
      </w:r>
    </w:p>
    <w:p w14:paraId="3F29A7F9" w14:textId="77777777" w:rsidR="00ED352C" w:rsidRPr="00C245E3" w:rsidRDefault="00ED352C" w:rsidP="00C245E3">
      <w:p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For example:</w:t>
      </w:r>
    </w:p>
    <w:p w14:paraId="3C1DD24D" w14:textId="77777777" w:rsidR="00ED352C" w:rsidRPr="00C245E3" w:rsidRDefault="00ED352C" w:rsidP="00C245E3">
      <w:pPr>
        <w:pStyle w:val="Lijstalinea"/>
        <w:numPr>
          <w:ilvl w:val="0"/>
          <w:numId w:val="1"/>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Water management / integrated water resource management: rivers, groundwater, catchment areas, allocation of water to the different uses (agriculture, households, industry and nature).</w:t>
      </w:r>
    </w:p>
    <w:p w14:paraId="5F199B74" w14:textId="77777777" w:rsidR="00ED352C" w:rsidRPr="00C245E3" w:rsidRDefault="00ED352C" w:rsidP="00C245E3">
      <w:pPr>
        <w:pStyle w:val="Lijstalinea"/>
        <w:numPr>
          <w:ilvl w:val="0"/>
          <w:numId w:val="1"/>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Water and agriculture/irrigation: efficient water use in agriculture, irrigation systems, climate-smart agriculture. These are whole-landscape efforts, not interventions at farm level, that also concern water governance, water harvesting and soil management.</w:t>
      </w:r>
    </w:p>
    <w:p w14:paraId="746D95EB" w14:textId="77777777" w:rsidR="00ED352C" w:rsidRPr="00C245E3" w:rsidRDefault="00ED352C" w:rsidP="00C245E3">
      <w:pPr>
        <w:pStyle w:val="Lijstalinea"/>
        <w:numPr>
          <w:ilvl w:val="0"/>
          <w:numId w:val="1"/>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Use of wastewater in agriculture: regulatory aspects and sustainable implementation of proven technologies.</w:t>
      </w:r>
    </w:p>
    <w:p w14:paraId="2B1D3DFA" w14:textId="77777777" w:rsidR="00ED352C" w:rsidRPr="00C245E3" w:rsidRDefault="00ED352C" w:rsidP="00C245E3">
      <w:pPr>
        <w:pStyle w:val="Lijstalinea"/>
        <w:numPr>
          <w:ilvl w:val="0"/>
          <w:numId w:val="1"/>
        </w:numPr>
        <w:pBdr>
          <w:top w:val="single" w:sz="4" w:space="1" w:color="auto"/>
          <w:left w:val="single" w:sz="4" w:space="4" w:color="auto"/>
          <w:bottom w:val="single" w:sz="4" w:space="1" w:color="auto"/>
          <w:right w:val="single" w:sz="4" w:space="4" w:color="auto"/>
        </w:pBdr>
        <w:spacing w:line="240" w:lineRule="atLeast"/>
        <w:rPr>
          <w:rFonts w:ascii="Verdana" w:hAnsi="Verdana"/>
          <w:sz w:val="18"/>
          <w:szCs w:val="18"/>
        </w:rPr>
      </w:pPr>
      <w:r w:rsidRPr="00C245E3">
        <w:rPr>
          <w:rFonts w:ascii="Verdana" w:hAnsi="Verdana"/>
          <w:sz w:val="18"/>
          <w:szCs w:val="18"/>
        </w:rPr>
        <w:t>Salinisation: prevention as well as adaptation to salinisation of soil and water.</w:t>
      </w:r>
    </w:p>
    <w:p w14:paraId="1BDF5EFD" w14:textId="77777777" w:rsidR="00935E48" w:rsidRPr="00C245E3" w:rsidRDefault="00935E48" w:rsidP="00C245E3">
      <w:pPr>
        <w:pStyle w:val="Geenafstand"/>
        <w:spacing w:after="160" w:line="240" w:lineRule="atLeast"/>
        <w:rPr>
          <w:rFonts w:ascii="Verdana" w:hAnsi="Verdana"/>
          <w:sz w:val="18"/>
          <w:szCs w:val="18"/>
          <w:u w:val="single"/>
          <w:lang w:val="en-US"/>
        </w:rPr>
      </w:pPr>
    </w:p>
    <w:p w14:paraId="634BC81B" w14:textId="77777777" w:rsidR="004F6B28" w:rsidRPr="00C245E3" w:rsidRDefault="283477C2" w:rsidP="00C245E3">
      <w:pPr>
        <w:pStyle w:val="Geenafstand"/>
        <w:spacing w:after="160" w:line="240" w:lineRule="atLeast"/>
        <w:rPr>
          <w:rFonts w:ascii="Verdana" w:hAnsi="Verdana"/>
          <w:sz w:val="18"/>
          <w:szCs w:val="18"/>
          <w:u w:val="single"/>
        </w:rPr>
      </w:pPr>
      <w:r w:rsidRPr="00C245E3">
        <w:rPr>
          <w:rFonts w:ascii="Verdana" w:hAnsi="Verdana"/>
          <w:sz w:val="18"/>
          <w:szCs w:val="18"/>
          <w:u w:val="single"/>
        </w:rPr>
        <w:t>d. Sustainable market development in specific other sectors and value chains linked to specific partner countries</w:t>
      </w:r>
    </w:p>
    <w:p w14:paraId="6D48967D" w14:textId="77777777" w:rsidR="00521F24" w:rsidRPr="00C245E3" w:rsidRDefault="001A7BF7" w:rsidP="00C245E3">
      <w:pPr>
        <w:pStyle w:val="Geenafstand"/>
        <w:spacing w:after="160" w:line="240" w:lineRule="atLeast"/>
        <w:rPr>
          <w:rFonts w:ascii="Verdana" w:hAnsi="Verdana"/>
          <w:sz w:val="18"/>
          <w:szCs w:val="18"/>
        </w:rPr>
      </w:pPr>
      <w:r w:rsidRPr="00C245E3">
        <w:rPr>
          <w:rFonts w:ascii="Verdana" w:hAnsi="Verdana"/>
          <w:sz w:val="18"/>
          <w:szCs w:val="18"/>
        </w:rPr>
        <w:t>This theme focuses on developing markets in specific sectors and value chains (or parts of value chains) in certain partner countries. Appendix 1 contains a list of partner countries and, for each country, the specific priority sectors and value chains for which applications can be submitted. The list is based on the Minister’s policy priorities, the goals of the partner countries in question and the embassies’ Multiannual Country Strategies (MACS).</w:t>
      </w:r>
    </w:p>
    <w:p w14:paraId="14C21BB8" w14:textId="77777777" w:rsidR="00EA167E" w:rsidRPr="00C245E3" w:rsidRDefault="00EA167E" w:rsidP="00C245E3">
      <w:pPr>
        <w:spacing w:line="240" w:lineRule="atLeast"/>
        <w:rPr>
          <w:rFonts w:ascii="Verdana" w:hAnsi="Verdana"/>
          <w:i/>
          <w:iCs/>
          <w:sz w:val="18"/>
          <w:szCs w:val="18"/>
        </w:rPr>
      </w:pPr>
    </w:p>
    <w:p w14:paraId="75AE214E" w14:textId="77777777" w:rsidR="00C21D21" w:rsidRPr="00C245E3" w:rsidRDefault="283477C2" w:rsidP="00C245E3">
      <w:pPr>
        <w:spacing w:line="240" w:lineRule="atLeast"/>
        <w:rPr>
          <w:rFonts w:ascii="Verdana" w:hAnsi="Verdana"/>
          <w:i/>
          <w:iCs/>
          <w:sz w:val="18"/>
          <w:szCs w:val="18"/>
        </w:rPr>
      </w:pPr>
      <w:bookmarkStart w:id="6" w:name="_Hlk236037789"/>
      <w:r w:rsidRPr="00C245E3">
        <w:rPr>
          <w:rFonts w:ascii="Verdana" w:hAnsi="Verdana"/>
          <w:i/>
          <w:sz w:val="18"/>
          <w:szCs w:val="18"/>
        </w:rPr>
        <w:t>4.6 Activities not eligible for a grant</w:t>
      </w:r>
    </w:p>
    <w:p w14:paraId="3440A7C5" w14:textId="77777777" w:rsidR="00C21D21" w:rsidRPr="00C245E3" w:rsidRDefault="283477C2" w:rsidP="00C245E3">
      <w:pPr>
        <w:spacing w:line="240" w:lineRule="atLeast"/>
        <w:rPr>
          <w:rFonts w:ascii="Verdana" w:hAnsi="Verdana"/>
          <w:sz w:val="18"/>
          <w:szCs w:val="18"/>
        </w:rPr>
      </w:pPr>
      <w:r w:rsidRPr="00C245E3">
        <w:rPr>
          <w:rFonts w:ascii="Verdana" w:hAnsi="Verdana"/>
          <w:sz w:val="18"/>
          <w:szCs w:val="18"/>
        </w:rPr>
        <w:t>No grants will be awarded for:</w:t>
      </w:r>
    </w:p>
    <w:p w14:paraId="2F7102EA" w14:textId="60DB60A4" w:rsidR="00C21D21" w:rsidRPr="00C245E3" w:rsidRDefault="00EF1CD6"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a</w:t>
      </w:r>
      <w:r w:rsidR="001C278D" w:rsidRPr="00C245E3">
        <w:rPr>
          <w:rFonts w:ascii="Verdana" w:hAnsi="Verdana"/>
          <w:sz w:val="18"/>
          <w:szCs w:val="18"/>
        </w:rPr>
        <w:t xml:space="preserve">ctivities aimed at </w:t>
      </w:r>
      <w:proofErr w:type="spellStart"/>
      <w:r w:rsidR="001C6D09" w:rsidRPr="00C245E3">
        <w:rPr>
          <w:rFonts w:ascii="Verdana" w:hAnsi="Verdana"/>
          <w:sz w:val="18"/>
          <w:szCs w:val="18"/>
        </w:rPr>
        <w:t>proselytism</w:t>
      </w:r>
      <w:proofErr w:type="spellEnd"/>
      <w:r w:rsidR="001C6D09" w:rsidRPr="00C245E3">
        <w:rPr>
          <w:rFonts w:ascii="Verdana" w:hAnsi="Verdana"/>
          <w:sz w:val="18"/>
          <w:szCs w:val="18"/>
        </w:rPr>
        <w:t xml:space="preserve">; </w:t>
      </w:r>
    </w:p>
    <w:p w14:paraId="1D899663" w14:textId="77777777" w:rsidR="00C21D21" w:rsidRPr="00C245E3" w:rsidRDefault="283477C2"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 xml:space="preserve">activities associated with racism, stigmatisation, antisemitism or other forms of discrimination that are punishable and/or prohibited under Dutch and/or European law; </w:t>
      </w:r>
    </w:p>
    <w:p w14:paraId="425B2377" w14:textId="77777777" w:rsidR="00C21D21" w:rsidRPr="00C245E3" w:rsidRDefault="283477C2"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 xml:space="preserve">commercial activities; </w:t>
      </w:r>
    </w:p>
    <w:p w14:paraId="3D6C5B5B" w14:textId="77777777" w:rsidR="00C21D21" w:rsidRPr="00C245E3" w:rsidRDefault="283477C2"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 xml:space="preserve">activities which already receive grant funding or a contribution directly or indirectly from the Ministry of Foreign Affairs budget or the Foreign Trade and Development Cooperation budget; </w:t>
      </w:r>
    </w:p>
    <w:p w14:paraId="00F984B5" w14:textId="77777777" w:rsidR="00C21D21" w:rsidRPr="00C245E3" w:rsidRDefault="283477C2"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activities by organisations already receiving a core-funding grant from the Ministry of Foreign Affairs budget during the term of the grant programme;</w:t>
      </w:r>
    </w:p>
    <w:p w14:paraId="7F64D4A3" w14:textId="77777777" w:rsidR="00C21D21" w:rsidRPr="00C245E3" w:rsidRDefault="283477C2"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activities that will cause significant harm to the environment, biodiversity and climate;</w:t>
      </w:r>
    </w:p>
    <w:p w14:paraId="5A3E7CF5" w14:textId="77777777" w:rsidR="00C21D21" w:rsidRPr="00C245E3" w:rsidRDefault="283477C2"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financial sector activities (such as financing models, revolving funds), with the exception of insurance systems and the development of specific credit products in the partner countries;</w:t>
      </w:r>
    </w:p>
    <w:p w14:paraId="2A4C9F3E" w14:textId="77777777" w:rsidR="00C21D21" w:rsidRPr="00C245E3" w:rsidRDefault="001C6D09" w:rsidP="00C245E3">
      <w:pPr>
        <w:pStyle w:val="Lijstalinea"/>
        <w:numPr>
          <w:ilvl w:val="0"/>
          <w:numId w:val="12"/>
        </w:numPr>
        <w:spacing w:line="240" w:lineRule="atLeast"/>
        <w:rPr>
          <w:rFonts w:ascii="Verdana" w:hAnsi="Verdana"/>
          <w:sz w:val="18"/>
          <w:szCs w:val="18"/>
        </w:rPr>
      </w:pPr>
      <w:bookmarkStart w:id="7" w:name="_Hlk236046121"/>
      <w:r w:rsidRPr="00C245E3">
        <w:rPr>
          <w:rFonts w:ascii="Verdana" w:hAnsi="Verdana"/>
          <w:sz w:val="18"/>
          <w:szCs w:val="18"/>
        </w:rPr>
        <w:t>product research and development (not innovation in the sense of R&amp;D, but activities aimed at scaling up a proven product or service);</w:t>
      </w:r>
    </w:p>
    <w:bookmarkEnd w:id="7"/>
    <w:p w14:paraId="5885D800" w14:textId="77777777" w:rsidR="00C21D21" w:rsidRPr="00C245E3" w:rsidRDefault="001C6D09"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 xml:space="preserve">one-off training activities unrelated to multi-year activities; </w:t>
      </w:r>
    </w:p>
    <w:p w14:paraId="21BC66F9" w14:textId="77777777" w:rsidR="00195D56" w:rsidRPr="00C245E3" w:rsidRDefault="001C6D09"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 xml:space="preserve">export or investment activities, including investments that could be recouped within a commercially acceptable period or which could be commercially funded; </w:t>
      </w:r>
    </w:p>
    <w:p w14:paraId="53C7124E" w14:textId="77777777" w:rsidR="00C21D21" w:rsidRPr="00C245E3" w:rsidRDefault="283477C2" w:rsidP="00C245E3">
      <w:pPr>
        <w:pStyle w:val="Lijstalinea"/>
        <w:numPr>
          <w:ilvl w:val="0"/>
          <w:numId w:val="12"/>
        </w:numPr>
        <w:spacing w:line="240" w:lineRule="atLeast"/>
        <w:rPr>
          <w:rFonts w:ascii="Verdana" w:hAnsi="Verdana"/>
          <w:sz w:val="18"/>
          <w:szCs w:val="18"/>
        </w:rPr>
      </w:pPr>
      <w:r w:rsidRPr="00C245E3">
        <w:rPr>
          <w:rFonts w:ascii="Verdana" w:hAnsi="Verdana"/>
          <w:sz w:val="18"/>
          <w:szCs w:val="18"/>
        </w:rPr>
        <w:t>activities that directly or indirectly generate voluntary carbon credits.</w:t>
      </w:r>
    </w:p>
    <w:bookmarkEnd w:id="6"/>
    <w:p w14:paraId="17162EDA" w14:textId="77777777" w:rsidR="005813A9" w:rsidRPr="00C245E3" w:rsidRDefault="005813A9" w:rsidP="00C245E3">
      <w:pPr>
        <w:spacing w:line="240" w:lineRule="atLeast"/>
        <w:rPr>
          <w:rFonts w:ascii="Verdana" w:hAnsi="Verdana"/>
          <w:sz w:val="18"/>
          <w:szCs w:val="18"/>
        </w:rPr>
      </w:pPr>
    </w:p>
    <w:p w14:paraId="491025FB" w14:textId="77777777" w:rsidR="005813A9" w:rsidRPr="00C245E3" w:rsidRDefault="005813A9" w:rsidP="00C245E3">
      <w:pPr>
        <w:spacing w:line="240" w:lineRule="atLeast"/>
        <w:rPr>
          <w:rFonts w:ascii="Verdana" w:hAnsi="Verdana"/>
          <w:sz w:val="18"/>
          <w:szCs w:val="18"/>
        </w:rPr>
      </w:pPr>
      <w:r w:rsidRPr="00C245E3">
        <w:rPr>
          <w:rFonts w:ascii="Verdana" w:hAnsi="Verdana"/>
          <w:sz w:val="18"/>
          <w:szCs w:val="18"/>
        </w:rPr>
        <w:t>Grants will not be awarded to projects involving coal or exploration and development of new oil and gas sites abroad, nor to activities at existing oil and gas sites unless they are aimed at improving environmental performance and/or safety and/or health and on condition that the activity will not prolong the economic lifespan of the fossil fuel infrastructure.</w:t>
      </w:r>
    </w:p>
    <w:p w14:paraId="0B8DDE49" w14:textId="77777777" w:rsidR="005813A9" w:rsidRPr="00C245E3" w:rsidRDefault="005813A9" w:rsidP="00C245E3">
      <w:pPr>
        <w:spacing w:line="240" w:lineRule="atLeast"/>
        <w:rPr>
          <w:rFonts w:ascii="Verdana" w:hAnsi="Verdana"/>
          <w:sz w:val="18"/>
          <w:szCs w:val="18"/>
        </w:rPr>
      </w:pPr>
    </w:p>
    <w:p w14:paraId="5C9550AA" w14:textId="77777777" w:rsidR="00C872D6" w:rsidRPr="00C245E3" w:rsidRDefault="283477C2" w:rsidP="00C245E3">
      <w:pPr>
        <w:spacing w:line="240" w:lineRule="atLeast"/>
        <w:rPr>
          <w:rFonts w:ascii="Verdana" w:hAnsi="Verdana"/>
          <w:sz w:val="18"/>
          <w:szCs w:val="18"/>
        </w:rPr>
      </w:pPr>
      <w:r w:rsidRPr="00C245E3">
        <w:rPr>
          <w:rFonts w:ascii="Verdana" w:hAnsi="Verdana"/>
          <w:i/>
          <w:sz w:val="18"/>
          <w:szCs w:val="18"/>
        </w:rPr>
        <w:lastRenderedPageBreak/>
        <w:t>4.7 Duration of activities</w:t>
      </w:r>
    </w:p>
    <w:p w14:paraId="674461CC" w14:textId="51B8CC45" w:rsidR="004F7879" w:rsidRPr="00C245E3" w:rsidRDefault="283477C2" w:rsidP="00C245E3">
      <w:pPr>
        <w:spacing w:line="240" w:lineRule="atLeast"/>
        <w:rPr>
          <w:rFonts w:ascii="Verdana" w:hAnsi="Verdana"/>
          <w:sz w:val="18"/>
          <w:szCs w:val="18"/>
        </w:rPr>
      </w:pPr>
      <w:r w:rsidRPr="00C245E3">
        <w:rPr>
          <w:rFonts w:ascii="Verdana" w:hAnsi="Verdana"/>
          <w:sz w:val="18"/>
          <w:szCs w:val="18"/>
        </w:rPr>
        <w:t xml:space="preserve">Activities should have a maximum duration of 60 months (five years). Activities must start within three months of the grant award. </w:t>
      </w:r>
    </w:p>
    <w:p w14:paraId="5D9BC7A0" w14:textId="44C029AE" w:rsidR="00705C48" w:rsidRPr="00C245E3" w:rsidRDefault="283477C2" w:rsidP="00C245E3">
      <w:pPr>
        <w:spacing w:line="240" w:lineRule="atLeast"/>
        <w:rPr>
          <w:rFonts w:ascii="Verdana" w:hAnsi="Verdana"/>
          <w:sz w:val="18"/>
          <w:szCs w:val="18"/>
        </w:rPr>
      </w:pPr>
      <w:r w:rsidRPr="00C245E3">
        <w:rPr>
          <w:rFonts w:ascii="Verdana" w:hAnsi="Verdana"/>
          <w:sz w:val="18"/>
          <w:szCs w:val="18"/>
        </w:rPr>
        <w:t xml:space="preserve">The first </w:t>
      </w:r>
      <w:r w:rsidR="00072FE2" w:rsidRPr="00C245E3">
        <w:rPr>
          <w:rFonts w:ascii="Verdana" w:hAnsi="Verdana"/>
          <w:sz w:val="18"/>
          <w:szCs w:val="18"/>
        </w:rPr>
        <w:t>implementation</w:t>
      </w:r>
      <w:r w:rsidRPr="00C245E3">
        <w:rPr>
          <w:rFonts w:ascii="Verdana" w:hAnsi="Verdana"/>
          <w:sz w:val="18"/>
          <w:szCs w:val="18"/>
        </w:rPr>
        <w:t xml:space="preserve"> phase, which usually has a duration of six months from the project starting date, is called the inception phase. During the inception phase, the details of how the project will be implemented are fleshed out before major investments are actually made. Examples of activities in this phase are: laying down further partnership arrangements, drawing up a plan for monitoring, evaluation and learning (MEL), or more concretely, applying for the necessary permits or arranging environmental and social impact assessments. This phase also allows for various issues to be addressed relating to responsible business conduct (RBC), which are specific to the project but were not yet certain when the grant application was drafted. The inception phase ends when all the activities planned for this phase have been carried out and the intended results of those activities have been achieved.</w:t>
      </w:r>
    </w:p>
    <w:p w14:paraId="3C4630B9" w14:textId="77777777" w:rsidR="00705C48" w:rsidRPr="00C245E3" w:rsidRDefault="00705C48" w:rsidP="00C245E3">
      <w:pPr>
        <w:spacing w:line="240" w:lineRule="atLeast"/>
        <w:rPr>
          <w:rFonts w:ascii="Verdana" w:hAnsi="Verdana"/>
          <w:b/>
          <w:bCs/>
          <w:sz w:val="18"/>
          <w:szCs w:val="18"/>
        </w:rPr>
      </w:pPr>
    </w:p>
    <w:p w14:paraId="6BC7FCC0" w14:textId="77777777" w:rsidR="0089000E" w:rsidRPr="00C245E3" w:rsidRDefault="0089000E" w:rsidP="00C245E3">
      <w:pPr>
        <w:spacing w:line="240" w:lineRule="atLeast"/>
        <w:rPr>
          <w:rFonts w:ascii="Verdana" w:hAnsi="Verdana"/>
          <w:i/>
          <w:iCs/>
          <w:sz w:val="18"/>
          <w:szCs w:val="18"/>
        </w:rPr>
      </w:pPr>
      <w:r w:rsidRPr="00C245E3">
        <w:rPr>
          <w:rFonts w:ascii="Verdana" w:hAnsi="Verdana"/>
          <w:i/>
          <w:sz w:val="18"/>
          <w:szCs w:val="18"/>
        </w:rPr>
        <w:t>4.8 Size of the grant</w:t>
      </w:r>
    </w:p>
    <w:p w14:paraId="72383FE4" w14:textId="77777777" w:rsidR="0089000E" w:rsidRPr="00C245E3" w:rsidRDefault="0089000E" w:rsidP="00C245E3">
      <w:pPr>
        <w:spacing w:line="240" w:lineRule="atLeast"/>
        <w:rPr>
          <w:rFonts w:ascii="Verdana" w:hAnsi="Verdana"/>
          <w:sz w:val="18"/>
          <w:szCs w:val="18"/>
        </w:rPr>
      </w:pPr>
      <w:r w:rsidRPr="00C245E3">
        <w:rPr>
          <w:rFonts w:ascii="Verdana" w:hAnsi="Verdana"/>
          <w:sz w:val="18"/>
          <w:szCs w:val="18"/>
        </w:rPr>
        <w:t>For each project:</w:t>
      </w:r>
    </w:p>
    <w:p w14:paraId="72F80EA1" w14:textId="77777777" w:rsidR="0089000E" w:rsidRPr="00C245E3" w:rsidRDefault="0089000E" w:rsidP="00C245E3">
      <w:pPr>
        <w:pStyle w:val="Lijstalinea"/>
        <w:numPr>
          <w:ilvl w:val="0"/>
          <w:numId w:val="28"/>
        </w:numPr>
        <w:spacing w:line="240" w:lineRule="atLeast"/>
        <w:rPr>
          <w:rFonts w:ascii="Verdana" w:hAnsi="Verdana"/>
          <w:sz w:val="18"/>
          <w:szCs w:val="18"/>
        </w:rPr>
      </w:pPr>
      <w:r w:rsidRPr="00C245E3">
        <w:rPr>
          <w:rFonts w:ascii="Verdana" w:hAnsi="Verdana"/>
          <w:sz w:val="18"/>
          <w:szCs w:val="18"/>
        </w:rPr>
        <w:t>A grant covers no more than 70% of eligible costs.</w:t>
      </w:r>
    </w:p>
    <w:p w14:paraId="3156199F" w14:textId="77777777" w:rsidR="0089000E" w:rsidRPr="00C245E3" w:rsidRDefault="0089000E" w:rsidP="00C245E3">
      <w:pPr>
        <w:pStyle w:val="Lijstalinea"/>
        <w:numPr>
          <w:ilvl w:val="0"/>
          <w:numId w:val="28"/>
        </w:numPr>
        <w:spacing w:line="240" w:lineRule="atLeast"/>
        <w:rPr>
          <w:rFonts w:ascii="Verdana" w:hAnsi="Verdana"/>
          <w:sz w:val="18"/>
          <w:szCs w:val="18"/>
        </w:rPr>
      </w:pPr>
      <w:r w:rsidRPr="00C245E3">
        <w:rPr>
          <w:rFonts w:ascii="Verdana" w:hAnsi="Verdana"/>
          <w:sz w:val="18"/>
          <w:szCs w:val="18"/>
        </w:rPr>
        <w:t>The minimum grant application is €500,000 and the maximum is €3,000,000.</w:t>
      </w:r>
    </w:p>
    <w:p w14:paraId="4F21A83A" w14:textId="77777777" w:rsidR="0089000E" w:rsidRPr="00C245E3" w:rsidRDefault="0089000E" w:rsidP="00C245E3">
      <w:pPr>
        <w:pStyle w:val="Lijstalinea"/>
        <w:numPr>
          <w:ilvl w:val="0"/>
          <w:numId w:val="28"/>
        </w:numPr>
        <w:spacing w:line="240" w:lineRule="atLeast"/>
        <w:rPr>
          <w:rFonts w:ascii="Verdana" w:hAnsi="Verdana"/>
          <w:sz w:val="18"/>
          <w:szCs w:val="18"/>
        </w:rPr>
      </w:pPr>
      <w:r w:rsidRPr="00C245E3">
        <w:rPr>
          <w:rFonts w:ascii="Verdana" w:hAnsi="Verdana"/>
          <w:sz w:val="18"/>
          <w:szCs w:val="18"/>
        </w:rPr>
        <w:t>At least 30% of the total eligible costs must be self-financed by the partnership (own contribution, see below).</w:t>
      </w:r>
    </w:p>
    <w:p w14:paraId="76167046" w14:textId="77777777" w:rsidR="0070307B" w:rsidRPr="00C245E3" w:rsidRDefault="0089000E" w:rsidP="00C245E3">
      <w:pPr>
        <w:spacing w:line="240" w:lineRule="atLeast"/>
        <w:rPr>
          <w:rFonts w:ascii="Verdana" w:hAnsi="Verdana"/>
          <w:sz w:val="18"/>
          <w:szCs w:val="18"/>
        </w:rPr>
      </w:pPr>
      <w:r w:rsidRPr="00C245E3">
        <w:rPr>
          <w:rFonts w:ascii="Verdana" w:hAnsi="Verdana"/>
          <w:sz w:val="18"/>
          <w:szCs w:val="18"/>
        </w:rPr>
        <w:t xml:space="preserve">The portion of the total eligible costs for which no grant is provided must be self-financed by the partnership. This portion is referred to as the partners’ own contribution. </w:t>
      </w:r>
    </w:p>
    <w:p w14:paraId="69B5F2EA" w14:textId="71D72630" w:rsidR="0070307B" w:rsidRPr="00C245E3" w:rsidRDefault="0070307B" w:rsidP="00C245E3">
      <w:pPr>
        <w:spacing w:line="240" w:lineRule="atLeast"/>
        <w:rPr>
          <w:rFonts w:ascii="Verdana" w:hAnsi="Verdana"/>
          <w:sz w:val="18"/>
          <w:szCs w:val="18"/>
        </w:rPr>
      </w:pPr>
      <w:r w:rsidRPr="00C245E3">
        <w:rPr>
          <w:rFonts w:ascii="Verdana" w:hAnsi="Verdana"/>
          <w:sz w:val="18"/>
          <w:szCs w:val="18"/>
        </w:rPr>
        <w:t xml:space="preserve">Under this grant programme, the partners’ own contribution may only take the form of worked hours by the partners (contribution in kind) and own funds (a payment made by a partner for the benefit of the project). </w:t>
      </w:r>
      <w:r w:rsidR="002C656F" w:rsidRPr="00C245E3">
        <w:rPr>
          <w:rFonts w:ascii="Verdana" w:hAnsi="Verdana"/>
          <w:sz w:val="18"/>
          <w:szCs w:val="18"/>
        </w:rPr>
        <w:t>In other words, fixed assets</w:t>
      </w:r>
      <w:bookmarkStart w:id="8" w:name="_Ref234578130"/>
      <w:r w:rsidR="00FF1DCC" w:rsidRPr="00C245E3">
        <w:rPr>
          <w:rStyle w:val="Voetnootmarkering"/>
          <w:rFonts w:ascii="Verdana" w:hAnsi="Verdana"/>
          <w:sz w:val="18"/>
          <w:szCs w:val="18"/>
        </w:rPr>
        <w:footnoteReference w:id="13"/>
      </w:r>
      <w:bookmarkEnd w:id="8"/>
      <w:r w:rsidR="002C656F" w:rsidRPr="00C245E3">
        <w:rPr>
          <w:rFonts w:ascii="Verdana" w:hAnsi="Verdana"/>
          <w:sz w:val="18"/>
          <w:szCs w:val="18"/>
        </w:rPr>
        <w:t xml:space="preserve"> donated by third parties to the partners cannot be used towards</w:t>
      </w:r>
      <w:r w:rsidR="00AC6DB1" w:rsidRPr="00C245E3">
        <w:rPr>
          <w:rFonts w:ascii="Verdana" w:hAnsi="Verdana"/>
          <w:sz w:val="18"/>
          <w:szCs w:val="18"/>
        </w:rPr>
        <w:t xml:space="preserve"> the required own contribution in the project budget.</w:t>
      </w:r>
    </w:p>
    <w:p w14:paraId="7C461E70" w14:textId="77777777" w:rsidR="0089000E" w:rsidRPr="00C245E3" w:rsidRDefault="002C656F" w:rsidP="00C245E3">
      <w:pPr>
        <w:spacing w:line="240" w:lineRule="atLeast"/>
        <w:rPr>
          <w:rFonts w:ascii="Verdana" w:hAnsi="Verdana"/>
          <w:sz w:val="18"/>
          <w:szCs w:val="18"/>
        </w:rPr>
      </w:pPr>
      <w:r w:rsidRPr="00C245E3">
        <w:rPr>
          <w:rFonts w:ascii="Verdana" w:hAnsi="Verdana"/>
          <w:sz w:val="18"/>
          <w:szCs w:val="18"/>
        </w:rPr>
        <w:t>The own contribution may not be financed from grants and/or contributions derived directly or indirectly from the budget of the Ministry of Foreign Affairs or the budget for Foreign Trade and Development Cooperation.</w:t>
      </w:r>
    </w:p>
    <w:p w14:paraId="290AA287" w14:textId="77777777" w:rsidR="009A2B9A" w:rsidRPr="00C245E3" w:rsidRDefault="009A2B9A" w:rsidP="00C245E3">
      <w:pPr>
        <w:spacing w:line="240" w:lineRule="atLeast"/>
        <w:rPr>
          <w:rFonts w:ascii="Verdana" w:hAnsi="Verdana"/>
          <w:sz w:val="18"/>
          <w:szCs w:val="18"/>
        </w:rPr>
      </w:pPr>
    </w:p>
    <w:p w14:paraId="1809E7FE"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5. Eligible costs</w:t>
      </w:r>
    </w:p>
    <w:p w14:paraId="4F15B1AC" w14:textId="77777777" w:rsidR="009C650A" w:rsidRPr="00C245E3" w:rsidRDefault="009C650A" w:rsidP="00C245E3">
      <w:pPr>
        <w:spacing w:line="240" w:lineRule="atLeast"/>
        <w:rPr>
          <w:rFonts w:ascii="Verdana" w:hAnsi="Verdana"/>
          <w:b/>
          <w:bCs/>
          <w:sz w:val="18"/>
          <w:szCs w:val="18"/>
        </w:rPr>
      </w:pPr>
    </w:p>
    <w:p w14:paraId="0E4DE862" w14:textId="77777777" w:rsidR="00C872D6" w:rsidRPr="00C245E3" w:rsidRDefault="283477C2" w:rsidP="00C245E3">
      <w:pPr>
        <w:spacing w:line="240" w:lineRule="atLeast"/>
        <w:rPr>
          <w:rFonts w:ascii="Verdana" w:hAnsi="Verdana"/>
          <w:i/>
          <w:iCs/>
          <w:sz w:val="18"/>
          <w:szCs w:val="18"/>
        </w:rPr>
      </w:pPr>
      <w:r w:rsidRPr="00C245E3">
        <w:rPr>
          <w:rFonts w:ascii="Verdana" w:hAnsi="Verdana"/>
          <w:i/>
          <w:sz w:val="18"/>
          <w:szCs w:val="18"/>
        </w:rPr>
        <w:t>5.1 Principles</w:t>
      </w:r>
    </w:p>
    <w:p w14:paraId="5DD8A35C"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In calculating the eligible costs per partner, the following principles apply:</w:t>
      </w:r>
    </w:p>
    <w:p w14:paraId="5AFFDD42" w14:textId="6C003A63" w:rsidR="00C872D6" w:rsidRPr="00C245E3" w:rsidRDefault="00827125"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 xml:space="preserve">it must be demonstrated that the </w:t>
      </w:r>
      <w:r w:rsidR="11DF5117" w:rsidRPr="00C245E3">
        <w:rPr>
          <w:rFonts w:ascii="Verdana" w:hAnsi="Verdana"/>
          <w:sz w:val="18"/>
          <w:szCs w:val="18"/>
        </w:rPr>
        <w:t xml:space="preserve">costs </w:t>
      </w:r>
      <w:r w:rsidRPr="00C245E3">
        <w:rPr>
          <w:rFonts w:ascii="Verdana" w:hAnsi="Verdana"/>
          <w:sz w:val="18"/>
          <w:szCs w:val="18"/>
        </w:rPr>
        <w:t xml:space="preserve">are </w:t>
      </w:r>
      <w:r w:rsidR="11DF5117" w:rsidRPr="00C245E3">
        <w:rPr>
          <w:rFonts w:ascii="Verdana" w:hAnsi="Verdana"/>
          <w:sz w:val="18"/>
          <w:szCs w:val="18"/>
        </w:rPr>
        <w:t>reasonable, logical and necessary;</w:t>
      </w:r>
      <w:r w:rsidR="00AC569F" w:rsidRPr="00C245E3">
        <w:rPr>
          <w:rStyle w:val="Voetnootmarkering"/>
          <w:rFonts w:ascii="Verdana" w:hAnsi="Verdana"/>
          <w:sz w:val="18"/>
          <w:szCs w:val="18"/>
        </w:rPr>
        <w:footnoteReference w:id="14"/>
      </w:r>
    </w:p>
    <w:p w14:paraId="24D808D7" w14:textId="77777777" w:rsidR="00C872D6" w:rsidRPr="00C245E3" w:rsidRDefault="283477C2"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the costs must, by their nature, be suitable for the partner incurring them;</w:t>
      </w:r>
    </w:p>
    <w:p w14:paraId="0ED7EE1C" w14:textId="77777777" w:rsidR="00C872D6" w:rsidRPr="00C245E3" w:rsidRDefault="283477C2"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costs must be directly related to carrying out the activities. Contingency costs are not eligible for grant funding;</w:t>
      </w:r>
    </w:p>
    <w:p w14:paraId="0CD65F06" w14:textId="77777777" w:rsidR="00C872D6" w:rsidRPr="00C245E3" w:rsidRDefault="283477C2"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only costs incurred after the application is submitted are eligible for a grant;</w:t>
      </w:r>
    </w:p>
    <w:p w14:paraId="17081B29" w14:textId="15CB04BA" w:rsidR="00C872D6" w:rsidRPr="00C245E3" w:rsidRDefault="283477C2"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 xml:space="preserve">costs must be stated without a </w:t>
      </w:r>
      <w:r w:rsidR="00067465" w:rsidRPr="00C245E3">
        <w:rPr>
          <w:rFonts w:ascii="Verdana" w:hAnsi="Verdana"/>
          <w:sz w:val="18"/>
          <w:szCs w:val="18"/>
        </w:rPr>
        <w:t xml:space="preserve">profit </w:t>
      </w:r>
      <w:r w:rsidRPr="00C245E3">
        <w:rPr>
          <w:rFonts w:ascii="Verdana" w:hAnsi="Verdana"/>
          <w:sz w:val="18"/>
          <w:szCs w:val="18"/>
        </w:rPr>
        <w:t>mark-up, with the exception of direct project costs payable to third parties (‘third-party costs’), supported by an invoice that meets market requirements;</w:t>
      </w:r>
    </w:p>
    <w:p w14:paraId="2D06AD4B" w14:textId="77777777" w:rsidR="006A6BAA" w:rsidRPr="00C245E3" w:rsidRDefault="283477C2"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costs will be compared with local standards and assessed for reasonableness;</w:t>
      </w:r>
    </w:p>
    <w:p w14:paraId="7432CEF7" w14:textId="77777777" w:rsidR="00D657D5" w:rsidRPr="00C245E3" w:rsidRDefault="283477C2"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lastRenderedPageBreak/>
        <w:t>costs relating to project management and coordination, including both staff costs and costs payable to third parties, may not exceed 20% of the total eligible costs;</w:t>
      </w:r>
    </w:p>
    <w:p w14:paraId="5C3AC6D3" w14:textId="38AFADD5" w:rsidR="000969CE" w:rsidRPr="00C245E3" w:rsidRDefault="00730632"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 xml:space="preserve">costs incurred after the project has been concluded are not eligible for grant funding, with the exception of costs relating to the </w:t>
      </w:r>
      <w:r w:rsidR="003A00E1" w:rsidRPr="00C245E3">
        <w:rPr>
          <w:rFonts w:ascii="Verdana" w:hAnsi="Verdana"/>
          <w:sz w:val="18"/>
          <w:szCs w:val="18"/>
        </w:rPr>
        <w:t xml:space="preserve">mandatory </w:t>
      </w:r>
      <w:r w:rsidRPr="00C245E3">
        <w:rPr>
          <w:rFonts w:ascii="Verdana" w:hAnsi="Verdana"/>
          <w:sz w:val="18"/>
          <w:szCs w:val="18"/>
        </w:rPr>
        <w:t>audit</w:t>
      </w:r>
      <w:r w:rsidR="00827125" w:rsidRPr="00C245E3">
        <w:rPr>
          <w:rFonts w:ascii="Verdana" w:hAnsi="Verdana"/>
          <w:sz w:val="18"/>
          <w:szCs w:val="18"/>
        </w:rPr>
        <w:t>,</w:t>
      </w:r>
      <w:r w:rsidRPr="00C245E3">
        <w:rPr>
          <w:rFonts w:ascii="Verdana" w:hAnsi="Verdana"/>
          <w:sz w:val="18"/>
          <w:szCs w:val="18"/>
        </w:rPr>
        <w:t xml:space="preserve"> carried out by an independent external auditor</w:t>
      </w:r>
      <w:r w:rsidR="00827125" w:rsidRPr="00C245E3">
        <w:rPr>
          <w:rFonts w:ascii="Verdana" w:hAnsi="Verdana"/>
          <w:sz w:val="18"/>
          <w:szCs w:val="18"/>
        </w:rPr>
        <w:t>,</w:t>
      </w:r>
      <w:r w:rsidRPr="00C245E3">
        <w:rPr>
          <w:rFonts w:ascii="Verdana" w:hAnsi="Verdana"/>
          <w:sz w:val="18"/>
          <w:szCs w:val="18"/>
        </w:rPr>
        <w:t xml:space="preserve"> </w:t>
      </w:r>
      <w:r w:rsidR="00827125" w:rsidRPr="00C245E3">
        <w:rPr>
          <w:rFonts w:ascii="Verdana" w:hAnsi="Verdana"/>
          <w:sz w:val="18"/>
          <w:szCs w:val="18"/>
        </w:rPr>
        <w:t xml:space="preserve">for the purpose of </w:t>
      </w:r>
      <w:r w:rsidRPr="00C245E3">
        <w:rPr>
          <w:rFonts w:ascii="Verdana" w:hAnsi="Verdana"/>
          <w:sz w:val="18"/>
          <w:szCs w:val="18"/>
        </w:rPr>
        <w:t>determin</w:t>
      </w:r>
      <w:r w:rsidR="00827125" w:rsidRPr="00C245E3">
        <w:rPr>
          <w:rFonts w:ascii="Verdana" w:hAnsi="Verdana"/>
          <w:sz w:val="18"/>
          <w:szCs w:val="18"/>
        </w:rPr>
        <w:t>ing</w:t>
      </w:r>
      <w:r w:rsidRPr="00C245E3">
        <w:rPr>
          <w:rFonts w:ascii="Verdana" w:hAnsi="Verdana"/>
          <w:sz w:val="18"/>
          <w:szCs w:val="18"/>
        </w:rPr>
        <w:t xml:space="preserve"> the definitive grant amount;</w:t>
      </w:r>
    </w:p>
    <w:p w14:paraId="55EA7879" w14:textId="77777777" w:rsidR="00C771D7" w:rsidRPr="00C245E3" w:rsidRDefault="00C771D7" w:rsidP="00C245E3">
      <w:pPr>
        <w:pStyle w:val="Lijstalinea"/>
        <w:numPr>
          <w:ilvl w:val="0"/>
          <w:numId w:val="2"/>
        </w:numPr>
        <w:spacing w:line="240" w:lineRule="atLeast"/>
        <w:rPr>
          <w:rFonts w:ascii="Verdana" w:hAnsi="Verdana"/>
          <w:sz w:val="18"/>
          <w:szCs w:val="18"/>
        </w:rPr>
      </w:pPr>
      <w:r w:rsidRPr="00C245E3">
        <w:rPr>
          <w:rFonts w:ascii="Verdana" w:hAnsi="Verdana"/>
          <w:sz w:val="18"/>
          <w:szCs w:val="18"/>
        </w:rPr>
        <w:t>revenues obtained directly from the project, for example for providing training and advice, will be deducted from the eligible costs.</w:t>
      </w:r>
    </w:p>
    <w:p w14:paraId="1F1CA269" w14:textId="77777777" w:rsidR="006F2C87" w:rsidRPr="00C245E3" w:rsidRDefault="006F2C87" w:rsidP="00C245E3">
      <w:pPr>
        <w:spacing w:line="240" w:lineRule="atLeast"/>
        <w:rPr>
          <w:rFonts w:ascii="Verdana" w:hAnsi="Verdana"/>
          <w:i/>
          <w:iCs/>
          <w:sz w:val="18"/>
          <w:szCs w:val="18"/>
        </w:rPr>
      </w:pPr>
    </w:p>
    <w:p w14:paraId="288F5190" w14:textId="77777777" w:rsidR="00C872D6" w:rsidRPr="00C245E3" w:rsidRDefault="283477C2" w:rsidP="00C245E3">
      <w:pPr>
        <w:spacing w:line="240" w:lineRule="atLeast"/>
        <w:rPr>
          <w:rFonts w:ascii="Verdana" w:hAnsi="Verdana"/>
          <w:i/>
          <w:iCs/>
          <w:sz w:val="18"/>
          <w:szCs w:val="18"/>
        </w:rPr>
      </w:pPr>
      <w:r w:rsidRPr="00C245E3">
        <w:rPr>
          <w:rFonts w:ascii="Verdana" w:hAnsi="Verdana"/>
          <w:i/>
          <w:sz w:val="18"/>
          <w:szCs w:val="18"/>
        </w:rPr>
        <w:t>5.2 Eligible costs</w:t>
      </w:r>
    </w:p>
    <w:p w14:paraId="1D38DCBA"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The following costs to be incurred by the partners are eligible for a grant:</w:t>
      </w:r>
    </w:p>
    <w:p w14:paraId="29789620" w14:textId="77777777" w:rsidR="004F595D" w:rsidRPr="00C245E3" w:rsidRDefault="283477C2" w:rsidP="00C245E3">
      <w:pPr>
        <w:pStyle w:val="Lijstalinea"/>
        <w:numPr>
          <w:ilvl w:val="0"/>
          <w:numId w:val="22"/>
        </w:numPr>
        <w:spacing w:line="240" w:lineRule="atLeast"/>
        <w:rPr>
          <w:rFonts w:ascii="Verdana" w:hAnsi="Verdana"/>
          <w:sz w:val="18"/>
          <w:szCs w:val="18"/>
        </w:rPr>
      </w:pPr>
      <w:r w:rsidRPr="00C245E3">
        <w:rPr>
          <w:rFonts w:ascii="Verdana" w:hAnsi="Verdana"/>
          <w:sz w:val="18"/>
          <w:szCs w:val="18"/>
        </w:rPr>
        <w:t xml:space="preserve">Staff costs in respect of staff directly involved in the project, calculated using one of the following formulas: </w:t>
      </w:r>
    </w:p>
    <w:p w14:paraId="12241934" w14:textId="67BF2A11" w:rsidR="002C6D51" w:rsidRPr="00C245E3" w:rsidRDefault="00343883" w:rsidP="00C245E3">
      <w:pPr>
        <w:pStyle w:val="Lijstalinea"/>
        <w:numPr>
          <w:ilvl w:val="0"/>
          <w:numId w:val="23"/>
        </w:numPr>
        <w:spacing w:line="240" w:lineRule="atLeast"/>
        <w:rPr>
          <w:rFonts w:ascii="Verdana" w:hAnsi="Verdana"/>
          <w:sz w:val="18"/>
          <w:szCs w:val="18"/>
        </w:rPr>
      </w:pPr>
      <w:r w:rsidRPr="00C245E3">
        <w:rPr>
          <w:rFonts w:ascii="Verdana" w:hAnsi="Verdana"/>
          <w:sz w:val="18"/>
          <w:szCs w:val="18"/>
        </w:rPr>
        <w:t>T</w:t>
      </w:r>
      <w:r w:rsidR="0025292D" w:rsidRPr="00C245E3">
        <w:rPr>
          <w:rFonts w:ascii="Verdana" w:hAnsi="Verdana"/>
          <w:sz w:val="18"/>
          <w:szCs w:val="18"/>
        </w:rPr>
        <w:t xml:space="preserve">he number of hours worked on the project by staff </w:t>
      </w:r>
      <w:r w:rsidR="00A10F73" w:rsidRPr="00C245E3">
        <w:rPr>
          <w:rFonts w:ascii="Verdana" w:hAnsi="Verdana"/>
          <w:sz w:val="18"/>
          <w:szCs w:val="18"/>
        </w:rPr>
        <w:t>directly involved in it</w:t>
      </w:r>
      <w:r w:rsidR="00A534EF" w:rsidRPr="00C245E3">
        <w:rPr>
          <w:rFonts w:ascii="Verdana" w:hAnsi="Verdana"/>
          <w:sz w:val="18"/>
          <w:szCs w:val="18"/>
        </w:rPr>
        <w:t>,</w:t>
      </w:r>
      <w:r w:rsidR="00A10F73" w:rsidRPr="00C245E3">
        <w:rPr>
          <w:rFonts w:ascii="Verdana" w:hAnsi="Verdana"/>
          <w:sz w:val="18"/>
          <w:szCs w:val="18"/>
        </w:rPr>
        <w:t xml:space="preserve"> </w:t>
      </w:r>
      <w:r w:rsidR="00C16C39" w:rsidRPr="00C245E3">
        <w:rPr>
          <w:rFonts w:ascii="Verdana" w:hAnsi="Verdana"/>
          <w:sz w:val="18"/>
          <w:szCs w:val="18"/>
        </w:rPr>
        <w:t xml:space="preserve">calculated </w:t>
      </w:r>
      <w:r w:rsidR="0025292D" w:rsidRPr="00C245E3">
        <w:rPr>
          <w:rFonts w:ascii="Verdana" w:hAnsi="Verdana"/>
          <w:sz w:val="18"/>
          <w:szCs w:val="18"/>
        </w:rPr>
        <w:t xml:space="preserve">on the basis of </w:t>
      </w:r>
      <w:r w:rsidR="00C16C39" w:rsidRPr="00C245E3">
        <w:rPr>
          <w:rFonts w:ascii="Verdana" w:hAnsi="Verdana"/>
          <w:sz w:val="18"/>
          <w:szCs w:val="18"/>
        </w:rPr>
        <w:t xml:space="preserve">a system of </w:t>
      </w:r>
      <w:r w:rsidR="0025292D" w:rsidRPr="00C245E3">
        <w:rPr>
          <w:rFonts w:ascii="Verdana" w:hAnsi="Verdana"/>
          <w:sz w:val="18"/>
          <w:szCs w:val="18"/>
        </w:rPr>
        <w:t xml:space="preserve">hourly wage costs </w:t>
      </w:r>
      <w:r w:rsidR="00A10F73" w:rsidRPr="00C245E3">
        <w:rPr>
          <w:rFonts w:ascii="Verdana" w:hAnsi="Verdana"/>
          <w:sz w:val="18"/>
          <w:szCs w:val="18"/>
        </w:rPr>
        <w:t>plus a fixed mark-up</w:t>
      </w:r>
      <w:r w:rsidR="00A534EF" w:rsidRPr="00C245E3">
        <w:rPr>
          <w:rFonts w:ascii="Verdana" w:hAnsi="Verdana"/>
          <w:sz w:val="18"/>
          <w:szCs w:val="18"/>
        </w:rPr>
        <w:t>,</w:t>
      </w:r>
      <w:r w:rsidR="00A10F73" w:rsidRPr="00C245E3">
        <w:rPr>
          <w:rFonts w:ascii="Verdana" w:hAnsi="Verdana"/>
          <w:sz w:val="18"/>
          <w:szCs w:val="18"/>
        </w:rPr>
        <w:t xml:space="preserve"> under which</w:t>
      </w:r>
      <w:r w:rsidR="0025292D" w:rsidRPr="00C245E3">
        <w:rPr>
          <w:rFonts w:ascii="Verdana" w:hAnsi="Verdana"/>
          <w:sz w:val="18"/>
          <w:szCs w:val="18"/>
        </w:rPr>
        <w:t xml:space="preserve"> a </w:t>
      </w:r>
      <w:r w:rsidR="00A10F73" w:rsidRPr="00C245E3">
        <w:rPr>
          <w:rFonts w:ascii="Verdana" w:hAnsi="Verdana"/>
          <w:sz w:val="18"/>
          <w:szCs w:val="18"/>
        </w:rPr>
        <w:t xml:space="preserve">fixed </w:t>
      </w:r>
      <w:r w:rsidR="0025292D" w:rsidRPr="00C245E3">
        <w:rPr>
          <w:rFonts w:ascii="Verdana" w:hAnsi="Verdana"/>
          <w:sz w:val="18"/>
          <w:szCs w:val="18"/>
        </w:rPr>
        <w:t>50% mark-up</w:t>
      </w:r>
      <w:r w:rsidR="00A10F73" w:rsidRPr="00C245E3">
        <w:rPr>
          <w:rFonts w:ascii="Verdana" w:hAnsi="Verdana"/>
          <w:sz w:val="18"/>
          <w:szCs w:val="18"/>
        </w:rPr>
        <w:t xml:space="preserve"> for</w:t>
      </w:r>
      <w:r w:rsidR="0025292D" w:rsidRPr="00C245E3">
        <w:rPr>
          <w:rFonts w:ascii="Verdana" w:hAnsi="Verdana"/>
          <w:sz w:val="18"/>
          <w:szCs w:val="18"/>
        </w:rPr>
        <w:t xml:space="preserve"> indirect costs</w:t>
      </w:r>
      <w:r w:rsidR="00A10F73" w:rsidRPr="00C245E3">
        <w:rPr>
          <w:rFonts w:ascii="Verdana" w:hAnsi="Verdana"/>
          <w:sz w:val="18"/>
          <w:szCs w:val="18"/>
        </w:rPr>
        <w:t xml:space="preserve"> is applie</w:t>
      </w:r>
      <w:r w:rsidR="00C16C39" w:rsidRPr="00C245E3">
        <w:rPr>
          <w:rFonts w:ascii="Verdana" w:hAnsi="Verdana"/>
          <w:sz w:val="18"/>
          <w:szCs w:val="18"/>
        </w:rPr>
        <w:t>d</w:t>
      </w:r>
      <w:r w:rsidR="00A10F73" w:rsidRPr="00C245E3">
        <w:rPr>
          <w:rFonts w:ascii="Verdana" w:hAnsi="Verdana"/>
          <w:sz w:val="18"/>
          <w:szCs w:val="18"/>
        </w:rPr>
        <w:t xml:space="preserve"> to the hourly wage costs of staff directly involved</w:t>
      </w:r>
      <w:r w:rsidR="00BC63CD" w:rsidRPr="00C245E3">
        <w:rPr>
          <w:rFonts w:ascii="Verdana" w:hAnsi="Verdana"/>
          <w:sz w:val="18"/>
          <w:szCs w:val="18"/>
        </w:rPr>
        <w:t xml:space="preserve"> in the project</w:t>
      </w:r>
      <w:r w:rsidR="0025292D" w:rsidRPr="00C245E3">
        <w:rPr>
          <w:rFonts w:ascii="Verdana" w:hAnsi="Verdana"/>
          <w:sz w:val="18"/>
          <w:szCs w:val="18"/>
        </w:rPr>
        <w:t>; or</w:t>
      </w:r>
    </w:p>
    <w:p w14:paraId="0DE78FA0" w14:textId="6B44750A" w:rsidR="006D4BAD" w:rsidRPr="00C245E3" w:rsidRDefault="00343883" w:rsidP="00C245E3">
      <w:pPr>
        <w:pStyle w:val="Lijstalinea"/>
        <w:numPr>
          <w:ilvl w:val="0"/>
          <w:numId w:val="23"/>
        </w:numPr>
        <w:spacing w:line="240" w:lineRule="atLeast"/>
        <w:rPr>
          <w:rFonts w:ascii="Verdana" w:hAnsi="Verdana"/>
          <w:sz w:val="18"/>
          <w:szCs w:val="18"/>
        </w:rPr>
      </w:pPr>
      <w:r w:rsidRPr="00C245E3">
        <w:rPr>
          <w:rFonts w:ascii="Verdana" w:hAnsi="Verdana"/>
          <w:sz w:val="18"/>
          <w:szCs w:val="18"/>
        </w:rPr>
        <w:t>T</w:t>
      </w:r>
      <w:r w:rsidR="004F595D" w:rsidRPr="00C245E3">
        <w:rPr>
          <w:rFonts w:ascii="Verdana" w:hAnsi="Verdana"/>
          <w:sz w:val="18"/>
          <w:szCs w:val="18"/>
        </w:rPr>
        <w:t>he number of hours worked on the project calculated on the basis of a full costing</w:t>
      </w:r>
      <w:r w:rsidR="0083058C" w:rsidRPr="00C245E3">
        <w:rPr>
          <w:rStyle w:val="Voetnootmarkering"/>
          <w:rFonts w:ascii="Verdana" w:hAnsi="Verdana"/>
          <w:sz w:val="18"/>
          <w:szCs w:val="18"/>
        </w:rPr>
        <w:footnoteReference w:id="15"/>
      </w:r>
      <w:r w:rsidR="004F595D" w:rsidRPr="00C245E3">
        <w:rPr>
          <w:rFonts w:ascii="Verdana" w:hAnsi="Verdana"/>
          <w:sz w:val="18"/>
          <w:szCs w:val="18"/>
        </w:rPr>
        <w:t xml:space="preserve"> method approved by RVO, using a rate per cost unit that incorporates both direct and indirect costs (cost units are, for example, hours worked by staff, equipment/machinery operating hours, output of equipment and machines, and materials used). The costing method must be founded on </w:t>
      </w:r>
      <w:r w:rsidR="00A10F73" w:rsidRPr="00C245E3">
        <w:rPr>
          <w:rFonts w:ascii="Verdana" w:hAnsi="Verdana"/>
          <w:sz w:val="18"/>
          <w:szCs w:val="18"/>
        </w:rPr>
        <w:t xml:space="preserve">economic and </w:t>
      </w:r>
      <w:r w:rsidR="004F595D" w:rsidRPr="00C245E3">
        <w:rPr>
          <w:rFonts w:ascii="Verdana" w:hAnsi="Verdana"/>
          <w:sz w:val="18"/>
          <w:szCs w:val="18"/>
        </w:rPr>
        <w:t>generally accept</w:t>
      </w:r>
      <w:r w:rsidR="00A10F73" w:rsidRPr="00C245E3">
        <w:rPr>
          <w:rFonts w:ascii="Verdana" w:hAnsi="Verdana"/>
          <w:sz w:val="18"/>
          <w:szCs w:val="18"/>
        </w:rPr>
        <w:t>able</w:t>
      </w:r>
      <w:r w:rsidR="004F595D" w:rsidRPr="00C245E3">
        <w:rPr>
          <w:rFonts w:ascii="Verdana" w:hAnsi="Verdana"/>
          <w:sz w:val="18"/>
          <w:szCs w:val="18"/>
        </w:rPr>
        <w:t xml:space="preserve"> principles and must be applied systematically by the grant recipient.</w:t>
      </w:r>
    </w:p>
    <w:p w14:paraId="077D954A" w14:textId="77777777" w:rsidR="00A70789" w:rsidRPr="00C245E3" w:rsidRDefault="000B23DA" w:rsidP="00C245E3">
      <w:pPr>
        <w:pStyle w:val="Lijstalinea"/>
        <w:numPr>
          <w:ilvl w:val="0"/>
          <w:numId w:val="22"/>
        </w:numPr>
        <w:spacing w:line="240" w:lineRule="atLeast"/>
        <w:rPr>
          <w:rFonts w:ascii="Verdana" w:hAnsi="Verdana"/>
          <w:sz w:val="18"/>
          <w:szCs w:val="18"/>
        </w:rPr>
      </w:pPr>
      <w:r w:rsidRPr="00C245E3">
        <w:rPr>
          <w:rFonts w:ascii="Verdana" w:hAnsi="Verdana"/>
          <w:sz w:val="18"/>
          <w:szCs w:val="18"/>
        </w:rPr>
        <w:t>Costs of fixed assets in so far as they are used in the project, with the exception of land and existing buildings. One of the following situations may apply:</w:t>
      </w:r>
    </w:p>
    <w:p w14:paraId="77D4F924" w14:textId="0872B91F" w:rsidR="00A70789" w:rsidRPr="00C245E3" w:rsidRDefault="00343883" w:rsidP="00C245E3">
      <w:pPr>
        <w:pStyle w:val="Lijstalinea"/>
        <w:numPr>
          <w:ilvl w:val="0"/>
          <w:numId w:val="23"/>
        </w:numPr>
        <w:spacing w:line="240" w:lineRule="atLeast"/>
        <w:rPr>
          <w:rFonts w:ascii="Verdana" w:hAnsi="Verdana"/>
          <w:sz w:val="18"/>
          <w:szCs w:val="18"/>
        </w:rPr>
      </w:pPr>
      <w:r w:rsidRPr="00C245E3">
        <w:rPr>
          <w:rFonts w:ascii="Verdana" w:hAnsi="Verdana"/>
          <w:sz w:val="18"/>
          <w:szCs w:val="18"/>
        </w:rPr>
        <w:t>W</w:t>
      </w:r>
      <w:r w:rsidR="000B23DA" w:rsidRPr="00C245E3">
        <w:rPr>
          <w:rFonts w:ascii="Verdana" w:hAnsi="Verdana"/>
          <w:sz w:val="18"/>
          <w:szCs w:val="18"/>
        </w:rPr>
        <w:t xml:space="preserve">hen the lifespan of fixed assets exceeds the project duration, only the depreciation accrued during the project period, calculated in accordance with general accounting principles, is eligible for a grant. The depreciable cost is the purchase price plus any adjustment costs minus any residual value. </w:t>
      </w:r>
    </w:p>
    <w:p w14:paraId="4066E24C" w14:textId="691EAA34" w:rsidR="00A70789" w:rsidRPr="00C245E3" w:rsidRDefault="00A70789" w:rsidP="00C245E3">
      <w:pPr>
        <w:pStyle w:val="Lijstalinea"/>
        <w:numPr>
          <w:ilvl w:val="0"/>
          <w:numId w:val="23"/>
        </w:numPr>
        <w:spacing w:line="240" w:lineRule="atLeast"/>
        <w:rPr>
          <w:rFonts w:ascii="Verdana" w:hAnsi="Verdana"/>
          <w:sz w:val="18"/>
          <w:szCs w:val="18"/>
        </w:rPr>
      </w:pPr>
      <w:r w:rsidRPr="00C245E3">
        <w:rPr>
          <w:rFonts w:ascii="Verdana" w:hAnsi="Verdana"/>
          <w:sz w:val="18"/>
          <w:szCs w:val="18"/>
        </w:rPr>
        <w:t>Only if fixed assets are purchased during the project period with the intention of donating them to a local organisation that is not a partner after the project ends may the purchase price (as invoiced) be included in the budget. In this case a statement confirming the transfer of the fixed assets must be appended to the request to determine the definitive amount of the grant.</w:t>
      </w:r>
    </w:p>
    <w:p w14:paraId="46046024" w14:textId="63CDCF76" w:rsidR="000C1DC9" w:rsidRPr="00C245E3" w:rsidRDefault="00E82CB5" w:rsidP="00C245E3">
      <w:pPr>
        <w:pStyle w:val="Lijstalinea"/>
        <w:numPr>
          <w:ilvl w:val="0"/>
          <w:numId w:val="22"/>
        </w:numPr>
        <w:spacing w:line="240" w:lineRule="atLeast"/>
        <w:rPr>
          <w:rFonts w:ascii="Verdana" w:hAnsi="Verdana"/>
          <w:sz w:val="18"/>
          <w:szCs w:val="18"/>
        </w:rPr>
      </w:pPr>
      <w:r w:rsidRPr="00C245E3">
        <w:rPr>
          <w:rFonts w:ascii="Verdana" w:hAnsi="Verdana"/>
          <w:sz w:val="18"/>
          <w:szCs w:val="18"/>
        </w:rPr>
        <w:t>Third-party costs: costs for goods</w:t>
      </w:r>
      <w:r w:rsidR="00C748E9" w:rsidRPr="00C245E3">
        <w:rPr>
          <w:rFonts w:ascii="Verdana" w:hAnsi="Verdana"/>
          <w:sz w:val="18"/>
          <w:szCs w:val="18"/>
        </w:rPr>
        <w:t>, materials</w:t>
      </w:r>
      <w:r w:rsidRPr="00C245E3">
        <w:rPr>
          <w:rFonts w:ascii="Verdana" w:hAnsi="Verdana"/>
          <w:sz w:val="18"/>
          <w:szCs w:val="18"/>
        </w:rPr>
        <w:t xml:space="preserve"> and services supplied by third parties and supported by an invoice. This also includes international travel costs and regional travel costs outside the Netherlands based on economy class fares.</w:t>
      </w:r>
    </w:p>
    <w:p w14:paraId="30E91973" w14:textId="77777777" w:rsidR="00926BBE" w:rsidRPr="00C245E3" w:rsidRDefault="007F32FC" w:rsidP="00C245E3">
      <w:pPr>
        <w:pStyle w:val="Lijstalinea"/>
        <w:numPr>
          <w:ilvl w:val="0"/>
          <w:numId w:val="22"/>
        </w:numPr>
        <w:spacing w:line="240" w:lineRule="atLeast"/>
        <w:rPr>
          <w:rFonts w:ascii="Verdana" w:hAnsi="Verdana"/>
          <w:sz w:val="18"/>
          <w:szCs w:val="18"/>
        </w:rPr>
      </w:pPr>
      <w:r w:rsidRPr="00C245E3">
        <w:rPr>
          <w:rFonts w:ascii="Verdana" w:hAnsi="Verdana"/>
          <w:sz w:val="18"/>
          <w:szCs w:val="18"/>
        </w:rPr>
        <w:t>Subsistence costs: the maximum reimbursement is the number of nights multiplied by the List of rates for subsistence costs on official trips abroad (‘</w:t>
      </w:r>
      <w:proofErr w:type="spellStart"/>
      <w:r w:rsidRPr="00C245E3">
        <w:rPr>
          <w:rFonts w:ascii="Verdana" w:hAnsi="Verdana"/>
          <w:sz w:val="18"/>
          <w:szCs w:val="18"/>
        </w:rPr>
        <w:t>Tarieflijst</w:t>
      </w:r>
      <w:proofErr w:type="spellEnd"/>
      <w:r w:rsidRPr="00C245E3">
        <w:rPr>
          <w:rFonts w:ascii="Verdana" w:hAnsi="Verdana"/>
          <w:sz w:val="18"/>
          <w:szCs w:val="18"/>
        </w:rPr>
        <w:t xml:space="preserve"> </w:t>
      </w:r>
      <w:proofErr w:type="spellStart"/>
      <w:r w:rsidRPr="00C245E3">
        <w:rPr>
          <w:rFonts w:ascii="Verdana" w:hAnsi="Verdana"/>
          <w:sz w:val="18"/>
          <w:szCs w:val="18"/>
        </w:rPr>
        <w:t>verblijfkosten</w:t>
      </w:r>
      <w:proofErr w:type="spellEnd"/>
      <w:r w:rsidRPr="00C245E3">
        <w:rPr>
          <w:rFonts w:ascii="Verdana" w:hAnsi="Verdana"/>
          <w:sz w:val="18"/>
          <w:szCs w:val="18"/>
        </w:rPr>
        <w:t xml:space="preserve"> </w:t>
      </w:r>
      <w:proofErr w:type="spellStart"/>
      <w:r w:rsidRPr="00C245E3">
        <w:rPr>
          <w:rFonts w:ascii="Verdana" w:hAnsi="Verdana"/>
          <w:sz w:val="18"/>
          <w:szCs w:val="18"/>
        </w:rPr>
        <w:t>buitenlandse</w:t>
      </w:r>
      <w:proofErr w:type="spellEnd"/>
      <w:r w:rsidRPr="00C245E3">
        <w:rPr>
          <w:rFonts w:ascii="Verdana" w:hAnsi="Verdana"/>
          <w:sz w:val="18"/>
          <w:szCs w:val="18"/>
        </w:rPr>
        <w:t xml:space="preserve"> </w:t>
      </w:r>
      <w:proofErr w:type="spellStart"/>
      <w:r w:rsidRPr="00C245E3">
        <w:rPr>
          <w:rFonts w:ascii="Verdana" w:hAnsi="Verdana"/>
          <w:sz w:val="18"/>
          <w:szCs w:val="18"/>
        </w:rPr>
        <w:t>dienstreizen</w:t>
      </w:r>
      <w:proofErr w:type="spellEnd"/>
      <w:r w:rsidRPr="00C245E3">
        <w:rPr>
          <w:rFonts w:ascii="Verdana" w:hAnsi="Verdana"/>
          <w:sz w:val="18"/>
          <w:szCs w:val="18"/>
        </w:rPr>
        <w:t>’) in effect on the project starting date.</w:t>
      </w:r>
      <w:r w:rsidRPr="00C245E3">
        <w:rPr>
          <w:rStyle w:val="Voetnootmarkering"/>
          <w:rFonts w:ascii="Verdana" w:hAnsi="Verdana"/>
          <w:sz w:val="18"/>
          <w:szCs w:val="18"/>
        </w:rPr>
        <w:footnoteReference w:id="16"/>
      </w:r>
      <w:r w:rsidRPr="00C245E3">
        <w:rPr>
          <w:rFonts w:ascii="Verdana" w:hAnsi="Verdana"/>
          <w:sz w:val="18"/>
          <w:szCs w:val="18"/>
        </w:rPr>
        <w:t xml:space="preserve"> Additional travel and subsistence costs may also be eligible on account of risks, insurance requirements and travel warnings, provided that these additional costs are properly substantiated in the application.</w:t>
      </w:r>
    </w:p>
    <w:p w14:paraId="7982187B" w14:textId="77777777" w:rsidR="009C650A" w:rsidRPr="00C245E3" w:rsidRDefault="009C650A" w:rsidP="00C245E3">
      <w:pPr>
        <w:pStyle w:val="Lijstalinea"/>
        <w:spacing w:line="240" w:lineRule="atLeast"/>
        <w:ind w:left="360"/>
        <w:rPr>
          <w:rFonts w:ascii="Verdana" w:hAnsi="Verdana"/>
          <w:sz w:val="18"/>
          <w:szCs w:val="18"/>
        </w:rPr>
      </w:pPr>
    </w:p>
    <w:p w14:paraId="0EF2205F" w14:textId="77777777" w:rsidR="00C872D6" w:rsidRPr="00C245E3" w:rsidRDefault="283477C2" w:rsidP="00C245E3">
      <w:pPr>
        <w:spacing w:line="240" w:lineRule="atLeast"/>
        <w:rPr>
          <w:rFonts w:ascii="Verdana" w:hAnsi="Verdana"/>
          <w:i/>
          <w:iCs/>
          <w:sz w:val="18"/>
          <w:szCs w:val="18"/>
        </w:rPr>
      </w:pPr>
      <w:r w:rsidRPr="00C245E3">
        <w:rPr>
          <w:rFonts w:ascii="Verdana" w:hAnsi="Verdana"/>
          <w:i/>
          <w:sz w:val="18"/>
          <w:szCs w:val="18"/>
        </w:rPr>
        <w:t>5.3 Costs not eligible for a grant</w:t>
      </w:r>
    </w:p>
    <w:p w14:paraId="79D08F63"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The following costs are in any event not eligible:</w:t>
      </w:r>
    </w:p>
    <w:p w14:paraId="2E0FF152" w14:textId="1B8371D6" w:rsidR="003A00E1" w:rsidRPr="00C245E3" w:rsidRDefault="00C748E9"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the costs of developing</w:t>
      </w:r>
      <w:r w:rsidR="283477C2" w:rsidRPr="00C245E3">
        <w:rPr>
          <w:rFonts w:ascii="Verdana" w:hAnsi="Verdana"/>
          <w:sz w:val="18"/>
          <w:szCs w:val="18"/>
        </w:rPr>
        <w:t xml:space="preserve">, preparing or submitting </w:t>
      </w:r>
      <w:r w:rsidR="003A00E1" w:rsidRPr="00C245E3">
        <w:rPr>
          <w:rFonts w:ascii="Verdana" w:hAnsi="Verdana"/>
          <w:sz w:val="18"/>
          <w:szCs w:val="18"/>
        </w:rPr>
        <w:t>the application</w:t>
      </w:r>
      <w:r w:rsidRPr="00C245E3">
        <w:rPr>
          <w:rFonts w:ascii="Verdana" w:hAnsi="Verdana"/>
          <w:sz w:val="18"/>
          <w:szCs w:val="18"/>
        </w:rPr>
        <w:t>;</w:t>
      </w:r>
    </w:p>
    <w:p w14:paraId="6173148B" w14:textId="3E5A6CE2" w:rsidR="00A32497" w:rsidRPr="00C245E3" w:rsidRDefault="283477C2"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value-added tax (VAT), in so far as this is not a cost item (VAT is not a cost item for project partners who are required to pay VAT on eligible activities but can deduct these costs when filing their VAT return with the Tax Administration);</w:t>
      </w:r>
    </w:p>
    <w:p w14:paraId="16E7F1AA" w14:textId="77777777" w:rsidR="00361608" w:rsidRPr="00C245E3" w:rsidRDefault="007045B3"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the cost of product research and development, apart from demonstration activities;</w:t>
      </w:r>
    </w:p>
    <w:p w14:paraId="5B2EC014" w14:textId="57D860F7" w:rsidR="00361608" w:rsidRPr="00C245E3" w:rsidRDefault="004D3FFE"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costs of operational</w:t>
      </w:r>
      <w:r w:rsidR="283477C2" w:rsidRPr="00C245E3">
        <w:rPr>
          <w:rFonts w:ascii="Verdana" w:hAnsi="Verdana"/>
          <w:sz w:val="18"/>
          <w:szCs w:val="18"/>
        </w:rPr>
        <w:t xml:space="preserve"> goods, services and activities;</w:t>
      </w:r>
    </w:p>
    <w:p w14:paraId="2B8B9762" w14:textId="77777777" w:rsidR="00C872D6" w:rsidRPr="00C245E3" w:rsidRDefault="283477C2"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lastRenderedPageBreak/>
        <w:t>financing costs and interest payments;</w:t>
      </w:r>
    </w:p>
    <w:p w14:paraId="253B5575" w14:textId="77777777" w:rsidR="00C872D6" w:rsidRPr="00C245E3" w:rsidRDefault="283477C2"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costs resulting from inflation and exchange rate fluctuations;</w:t>
      </w:r>
    </w:p>
    <w:p w14:paraId="704A2E96" w14:textId="77777777" w:rsidR="20BD3530" w:rsidRPr="00C245E3" w:rsidRDefault="283477C2"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costs associated with purchasing licences;</w:t>
      </w:r>
    </w:p>
    <w:p w14:paraId="68EA1C76" w14:textId="77777777" w:rsidR="00214B3F" w:rsidRPr="00C245E3" w:rsidRDefault="283477C2"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costs of purchasing land and existing buildings;</w:t>
      </w:r>
    </w:p>
    <w:p w14:paraId="7852D153" w14:textId="77777777" w:rsidR="00C872D6" w:rsidRPr="00C245E3" w:rsidRDefault="283477C2"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costs of registering and maintaining intellectual property rights;</w:t>
      </w:r>
    </w:p>
    <w:p w14:paraId="1C356407" w14:textId="77777777" w:rsidR="009C650A" w:rsidRPr="00C245E3" w:rsidRDefault="283477C2" w:rsidP="00C245E3">
      <w:pPr>
        <w:pStyle w:val="Lijstalinea"/>
        <w:numPr>
          <w:ilvl w:val="0"/>
          <w:numId w:val="34"/>
        </w:numPr>
        <w:spacing w:line="240" w:lineRule="atLeast"/>
        <w:rPr>
          <w:rFonts w:ascii="Verdana" w:hAnsi="Verdana"/>
          <w:sz w:val="18"/>
          <w:szCs w:val="18"/>
        </w:rPr>
      </w:pPr>
      <w:r w:rsidRPr="00C245E3">
        <w:rPr>
          <w:rFonts w:ascii="Verdana" w:hAnsi="Verdana"/>
          <w:sz w:val="18"/>
          <w:szCs w:val="18"/>
        </w:rPr>
        <w:t>costs incurred by third parties, except for goods or services provided and billed to the partners.</w:t>
      </w:r>
    </w:p>
    <w:p w14:paraId="6FB0086C" w14:textId="77777777" w:rsidR="00A5465A" w:rsidRPr="00C245E3" w:rsidRDefault="00A5465A" w:rsidP="00C245E3">
      <w:pPr>
        <w:spacing w:line="240" w:lineRule="atLeast"/>
        <w:rPr>
          <w:rFonts w:ascii="Verdana" w:hAnsi="Verdana"/>
          <w:sz w:val="18"/>
          <w:szCs w:val="18"/>
        </w:rPr>
      </w:pPr>
    </w:p>
    <w:p w14:paraId="4F4002D5"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6. Application</w:t>
      </w:r>
    </w:p>
    <w:p w14:paraId="65B978EC" w14:textId="77777777" w:rsidR="009C650A" w:rsidRPr="00C245E3" w:rsidRDefault="009C650A" w:rsidP="00C245E3">
      <w:pPr>
        <w:spacing w:line="240" w:lineRule="atLeast"/>
        <w:rPr>
          <w:rFonts w:ascii="Verdana" w:hAnsi="Verdana"/>
          <w:b/>
          <w:bCs/>
          <w:sz w:val="18"/>
          <w:szCs w:val="18"/>
        </w:rPr>
      </w:pPr>
    </w:p>
    <w:p w14:paraId="1760E3E2" w14:textId="77777777" w:rsidR="00C872D6" w:rsidRPr="00C245E3" w:rsidRDefault="283477C2" w:rsidP="00C245E3">
      <w:pPr>
        <w:spacing w:line="240" w:lineRule="atLeast"/>
        <w:rPr>
          <w:rFonts w:ascii="Verdana" w:hAnsi="Verdana"/>
          <w:i/>
          <w:iCs/>
          <w:sz w:val="18"/>
          <w:szCs w:val="18"/>
        </w:rPr>
      </w:pPr>
      <w:r w:rsidRPr="00C245E3">
        <w:rPr>
          <w:rFonts w:ascii="Verdana" w:hAnsi="Verdana"/>
          <w:i/>
          <w:sz w:val="18"/>
          <w:szCs w:val="18"/>
        </w:rPr>
        <w:t>6.1 Requirements</w:t>
      </w:r>
    </w:p>
    <w:p w14:paraId="7B130906"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 xml:space="preserve">Applications must be submitted using the form supplied by RVO for this purpose. The form must be accompanied by the documents specified in it, in the format prescribed by RVO. </w:t>
      </w:r>
    </w:p>
    <w:p w14:paraId="652E086B" w14:textId="77777777" w:rsidR="00D16F21" w:rsidRPr="00C245E3" w:rsidRDefault="283477C2" w:rsidP="00C245E3">
      <w:pPr>
        <w:spacing w:line="240" w:lineRule="atLeast"/>
        <w:rPr>
          <w:rFonts w:ascii="Verdana" w:hAnsi="Verdana"/>
          <w:sz w:val="18"/>
          <w:szCs w:val="18"/>
        </w:rPr>
      </w:pPr>
      <w:r w:rsidRPr="00C245E3">
        <w:rPr>
          <w:rFonts w:ascii="Verdana" w:hAnsi="Verdana"/>
          <w:sz w:val="18"/>
          <w:szCs w:val="18"/>
        </w:rPr>
        <w:t>The application must in any event include:</w:t>
      </w:r>
    </w:p>
    <w:p w14:paraId="3205E7B5" w14:textId="77777777" w:rsidR="00890B00" w:rsidRPr="00C245E3" w:rsidRDefault="00C6658A" w:rsidP="00C245E3">
      <w:pPr>
        <w:pStyle w:val="Lijstalinea"/>
        <w:numPr>
          <w:ilvl w:val="0"/>
          <w:numId w:val="4"/>
        </w:numPr>
        <w:spacing w:line="240" w:lineRule="atLeast"/>
        <w:rPr>
          <w:rFonts w:ascii="Verdana" w:hAnsi="Verdana"/>
          <w:sz w:val="18"/>
          <w:szCs w:val="18"/>
        </w:rPr>
      </w:pPr>
      <w:r w:rsidRPr="00C245E3">
        <w:rPr>
          <w:rFonts w:ascii="Verdana" w:hAnsi="Verdana"/>
          <w:sz w:val="18"/>
          <w:szCs w:val="18"/>
        </w:rPr>
        <w:t>the reference number of the recommendation issued by RVO;</w:t>
      </w:r>
    </w:p>
    <w:p w14:paraId="2796E7BE" w14:textId="77777777" w:rsidR="00802C3F" w:rsidRPr="00C245E3" w:rsidRDefault="00890B00" w:rsidP="00C245E3">
      <w:pPr>
        <w:pStyle w:val="Lijstalinea"/>
        <w:numPr>
          <w:ilvl w:val="0"/>
          <w:numId w:val="4"/>
        </w:numPr>
        <w:spacing w:line="240" w:lineRule="atLeast"/>
        <w:rPr>
          <w:rFonts w:ascii="Verdana" w:hAnsi="Verdana"/>
          <w:color w:val="000000" w:themeColor="text1"/>
          <w:sz w:val="18"/>
          <w:szCs w:val="18"/>
        </w:rPr>
      </w:pPr>
      <w:r w:rsidRPr="00C245E3">
        <w:rPr>
          <w:rFonts w:ascii="Verdana" w:hAnsi="Verdana"/>
          <w:sz w:val="18"/>
          <w:szCs w:val="18"/>
        </w:rPr>
        <w:t xml:space="preserve">a project plan drawn up in line with section 4.5, in any case including the business case, the plan for monitoring, evaluation and learning (MEL), an explicit description of how and why the project is expected to bring about the desired change, and the way in which the project will contribute towards the indicators set out in appendix 3 of these administrative rules; </w:t>
      </w:r>
    </w:p>
    <w:p w14:paraId="63452775" w14:textId="77777777" w:rsidR="002E265E" w:rsidRPr="00C245E3" w:rsidRDefault="00802C3F" w:rsidP="00C245E3">
      <w:pPr>
        <w:pStyle w:val="Lijstalinea"/>
        <w:numPr>
          <w:ilvl w:val="0"/>
          <w:numId w:val="4"/>
        </w:numPr>
        <w:spacing w:line="240" w:lineRule="atLeast"/>
        <w:rPr>
          <w:rFonts w:ascii="Verdana" w:hAnsi="Verdana"/>
          <w:color w:val="000000" w:themeColor="text1"/>
          <w:sz w:val="18"/>
          <w:szCs w:val="18"/>
        </w:rPr>
      </w:pPr>
      <w:r w:rsidRPr="00C245E3">
        <w:rPr>
          <w:rFonts w:ascii="Verdana" w:hAnsi="Verdana"/>
          <w:sz w:val="18"/>
          <w:szCs w:val="18"/>
        </w:rPr>
        <w:t xml:space="preserve">an explanation of the climate transformative and climate-resilient nature of the project;  </w:t>
      </w:r>
    </w:p>
    <w:p w14:paraId="6F079F9F" w14:textId="77777777" w:rsidR="00796516" w:rsidRPr="00C245E3" w:rsidRDefault="283477C2" w:rsidP="00C245E3">
      <w:pPr>
        <w:pStyle w:val="Lijstalinea"/>
        <w:numPr>
          <w:ilvl w:val="0"/>
          <w:numId w:val="4"/>
        </w:numPr>
        <w:spacing w:line="240" w:lineRule="atLeast"/>
        <w:rPr>
          <w:rFonts w:ascii="Verdana" w:hAnsi="Verdana"/>
          <w:sz w:val="18"/>
          <w:szCs w:val="18"/>
        </w:rPr>
      </w:pPr>
      <w:r w:rsidRPr="00C245E3">
        <w:rPr>
          <w:rFonts w:ascii="Verdana" w:hAnsi="Verdana"/>
          <w:sz w:val="18"/>
          <w:szCs w:val="18"/>
        </w:rPr>
        <w:t>partner forms for each partner (containing the partner’s details and authorising the lead party to act on its behalf);</w:t>
      </w:r>
    </w:p>
    <w:p w14:paraId="12839B17" w14:textId="77777777" w:rsidR="00715093" w:rsidRPr="00C245E3" w:rsidRDefault="283477C2" w:rsidP="00C245E3">
      <w:pPr>
        <w:pStyle w:val="Lijstalinea"/>
        <w:numPr>
          <w:ilvl w:val="0"/>
          <w:numId w:val="4"/>
        </w:numPr>
        <w:spacing w:line="240" w:lineRule="atLeast"/>
        <w:rPr>
          <w:rFonts w:ascii="Verdana" w:hAnsi="Verdana"/>
          <w:sz w:val="18"/>
          <w:szCs w:val="18"/>
        </w:rPr>
      </w:pPr>
      <w:r w:rsidRPr="00C245E3">
        <w:rPr>
          <w:rFonts w:ascii="Verdana" w:hAnsi="Verdana"/>
          <w:sz w:val="18"/>
          <w:szCs w:val="18"/>
        </w:rPr>
        <w:t xml:space="preserve">a budget showing the total project costs, and the financing of and each partner’s share of the own contribution; </w:t>
      </w:r>
    </w:p>
    <w:p w14:paraId="5DE16C70" w14:textId="77777777" w:rsidR="009975BF" w:rsidRPr="00C245E3" w:rsidRDefault="00715093" w:rsidP="00C245E3">
      <w:pPr>
        <w:pStyle w:val="Lijstalinea"/>
        <w:numPr>
          <w:ilvl w:val="0"/>
          <w:numId w:val="4"/>
        </w:numPr>
        <w:spacing w:line="240" w:lineRule="atLeast"/>
        <w:rPr>
          <w:rFonts w:ascii="Verdana" w:hAnsi="Verdana"/>
          <w:sz w:val="18"/>
          <w:szCs w:val="18"/>
        </w:rPr>
      </w:pPr>
      <w:r w:rsidRPr="00C245E3">
        <w:rPr>
          <w:rFonts w:ascii="Verdana" w:hAnsi="Verdana"/>
          <w:sz w:val="18"/>
          <w:szCs w:val="18"/>
        </w:rPr>
        <w:t>for partners whose hourly rate is calculated on the basis of wage costs and a 50% mark-up: a recent payroll summary report presenting a cumulative overview of wage costs for all staff deployed in the project;</w:t>
      </w:r>
    </w:p>
    <w:p w14:paraId="2C09EF89" w14:textId="77777777" w:rsidR="0081047F" w:rsidRPr="00C245E3" w:rsidRDefault="0081047F" w:rsidP="00C245E3">
      <w:pPr>
        <w:pStyle w:val="Lijstalinea"/>
        <w:numPr>
          <w:ilvl w:val="0"/>
          <w:numId w:val="4"/>
        </w:numPr>
        <w:spacing w:line="240" w:lineRule="atLeast"/>
        <w:rPr>
          <w:rFonts w:ascii="Verdana" w:hAnsi="Verdana"/>
          <w:sz w:val="18"/>
          <w:szCs w:val="18"/>
        </w:rPr>
      </w:pPr>
      <w:r w:rsidRPr="00C245E3">
        <w:rPr>
          <w:rFonts w:ascii="Verdana" w:hAnsi="Verdana"/>
          <w:sz w:val="18"/>
          <w:szCs w:val="18"/>
        </w:rPr>
        <w:t>to be provided by the lead party: details about the average share of total annual income over the last five financial years (as from the date the application is submitted) derived from sources other than grants and/or contributions (direct or indirect) from the Ministry of Foreign Affairs;</w:t>
      </w:r>
    </w:p>
    <w:p w14:paraId="1437355C" w14:textId="77777777" w:rsidR="008C33C5" w:rsidRPr="00C245E3" w:rsidRDefault="283477C2" w:rsidP="00C245E3">
      <w:pPr>
        <w:pStyle w:val="Lijstalinea"/>
        <w:numPr>
          <w:ilvl w:val="0"/>
          <w:numId w:val="4"/>
        </w:numPr>
        <w:spacing w:line="240" w:lineRule="atLeast"/>
        <w:rPr>
          <w:rFonts w:ascii="Verdana" w:hAnsi="Verdana"/>
          <w:sz w:val="18"/>
          <w:szCs w:val="18"/>
        </w:rPr>
      </w:pPr>
      <w:r w:rsidRPr="00C245E3">
        <w:rPr>
          <w:rFonts w:ascii="Verdana" w:hAnsi="Verdana"/>
          <w:sz w:val="18"/>
          <w:szCs w:val="18"/>
        </w:rPr>
        <w:t>the lead party’s annual accounts for the last two years (t-1 and t-2) audited by an external, independent auditor or, if no audited annual accounts are available for one or both of these years, non-audited annual accounts for these years. If the partners are financing the own contribution from their own resources and one or more partners individually contributes at least €25,000, the aforementioned financial documents must also be provided for this partner or these partners (in Dutch or English);</w:t>
      </w:r>
    </w:p>
    <w:p w14:paraId="2506D50D" w14:textId="77777777" w:rsidR="00890B00" w:rsidRPr="00C245E3" w:rsidRDefault="283477C2" w:rsidP="00C245E3">
      <w:pPr>
        <w:pStyle w:val="Lijstalinea"/>
        <w:numPr>
          <w:ilvl w:val="0"/>
          <w:numId w:val="4"/>
        </w:numPr>
        <w:spacing w:line="240" w:lineRule="atLeast"/>
        <w:rPr>
          <w:rFonts w:ascii="Verdana" w:hAnsi="Verdana"/>
          <w:sz w:val="18"/>
          <w:szCs w:val="18"/>
        </w:rPr>
      </w:pPr>
      <w:r w:rsidRPr="00C245E3">
        <w:rPr>
          <w:rFonts w:ascii="Verdana" w:hAnsi="Verdana"/>
          <w:sz w:val="18"/>
          <w:szCs w:val="18"/>
        </w:rPr>
        <w:t>a liquidity forecast per partner and per year;</w:t>
      </w:r>
    </w:p>
    <w:p w14:paraId="12282A45" w14:textId="77777777" w:rsidR="005E45AB" w:rsidRPr="00C245E3" w:rsidRDefault="283477C2" w:rsidP="00C245E3">
      <w:pPr>
        <w:pStyle w:val="Lijstalinea"/>
        <w:numPr>
          <w:ilvl w:val="0"/>
          <w:numId w:val="5"/>
        </w:numPr>
        <w:spacing w:line="240" w:lineRule="atLeast"/>
        <w:rPr>
          <w:rFonts w:ascii="Verdana" w:hAnsi="Verdana"/>
          <w:sz w:val="18"/>
          <w:szCs w:val="18"/>
        </w:rPr>
      </w:pPr>
      <w:r w:rsidRPr="00C245E3">
        <w:rPr>
          <w:rFonts w:ascii="Verdana" w:hAnsi="Verdana"/>
          <w:sz w:val="18"/>
          <w:szCs w:val="18"/>
        </w:rPr>
        <w:t xml:space="preserve">a signed agreement guaranteeing the participation of the partners in carrying out the activities, the distribution of roles and their compliance with the agreements reached, as well as their agreement to fulfil the obligations towards the Minister in respect of the grant; </w:t>
      </w:r>
    </w:p>
    <w:p w14:paraId="29EA44AD" w14:textId="77777777" w:rsidR="006109E2" w:rsidRPr="00C245E3" w:rsidRDefault="00A2201B" w:rsidP="00C245E3">
      <w:pPr>
        <w:pStyle w:val="Lijstalinea"/>
        <w:numPr>
          <w:ilvl w:val="0"/>
          <w:numId w:val="5"/>
        </w:numPr>
        <w:spacing w:line="240" w:lineRule="atLeast"/>
        <w:rPr>
          <w:rFonts w:ascii="Verdana" w:hAnsi="Verdana"/>
          <w:sz w:val="18"/>
          <w:szCs w:val="18"/>
        </w:rPr>
      </w:pPr>
      <w:r w:rsidRPr="00C245E3">
        <w:rPr>
          <w:rFonts w:ascii="Verdana" w:hAnsi="Verdana"/>
          <w:sz w:val="18"/>
          <w:szCs w:val="18"/>
        </w:rPr>
        <w:t>if a local public body is unable to sign the partnership agreement directly: a signed declaration of its intent to sign the partnership agreement within three months of the grant being awarded.</w:t>
      </w:r>
      <w:r w:rsidRPr="00C245E3">
        <w:rPr>
          <w:rFonts w:ascii="Verdana" w:hAnsi="Verdana"/>
          <w:sz w:val="18"/>
          <w:szCs w:val="18"/>
        </w:rPr>
        <w:br/>
      </w:r>
    </w:p>
    <w:p w14:paraId="1B596FC0" w14:textId="77777777" w:rsidR="00890B00" w:rsidRPr="00C245E3" w:rsidRDefault="00890B00" w:rsidP="00C245E3">
      <w:pPr>
        <w:spacing w:line="240" w:lineRule="atLeast"/>
        <w:rPr>
          <w:rFonts w:ascii="Verdana" w:hAnsi="Verdana"/>
          <w:sz w:val="18"/>
          <w:szCs w:val="18"/>
        </w:rPr>
      </w:pPr>
      <w:r w:rsidRPr="00C245E3">
        <w:rPr>
          <w:rFonts w:ascii="Verdana" w:hAnsi="Verdana"/>
          <w:sz w:val="18"/>
          <w:szCs w:val="18"/>
        </w:rPr>
        <w:t>Partners must also declare that they are aware of and will comply with the OECD Guidelines. Partners must also be aware of the FMO exclusion list and not engage in any activities on that list.</w:t>
      </w:r>
      <w:r w:rsidRPr="00C245E3">
        <w:rPr>
          <w:rStyle w:val="Voetnootmarkering"/>
          <w:rFonts w:ascii="Verdana" w:hAnsi="Verdana"/>
          <w:sz w:val="18"/>
          <w:szCs w:val="18"/>
        </w:rPr>
        <w:footnoteReference w:id="17"/>
      </w:r>
      <w:r w:rsidRPr="00C245E3">
        <w:rPr>
          <w:rFonts w:ascii="Verdana" w:hAnsi="Verdana"/>
          <w:sz w:val="18"/>
          <w:szCs w:val="18"/>
        </w:rPr>
        <w:t xml:space="preserve"> The partners must declare that they are aware of and endorse these standards. The partners must immediately notify RVO of any facts or circumstances that indicate breaches of these standards. If the National Contact Point (NCP) for the OECD Guidelines for Multinational Enterprises receives a notification about a business, the business is required to inform RVO accordingly and to cooperate with the NCP.</w:t>
      </w:r>
    </w:p>
    <w:p w14:paraId="73D16D06" w14:textId="1679C575" w:rsidR="00897DDC" w:rsidRPr="00C245E3" w:rsidRDefault="00897DDC" w:rsidP="00C245E3">
      <w:pPr>
        <w:spacing w:line="240" w:lineRule="atLeast"/>
        <w:rPr>
          <w:rFonts w:ascii="Verdana" w:hAnsi="Verdana"/>
          <w:sz w:val="18"/>
          <w:szCs w:val="18"/>
        </w:rPr>
      </w:pPr>
      <w:r w:rsidRPr="00C245E3">
        <w:rPr>
          <w:rFonts w:ascii="Verdana" w:hAnsi="Verdana"/>
          <w:sz w:val="18"/>
          <w:szCs w:val="18"/>
        </w:rPr>
        <w:lastRenderedPageBreak/>
        <w:t>Dutch businesses will be asked to truthfully complete an RBC self-assessment</w:t>
      </w:r>
      <w:r w:rsidR="00FE7822" w:rsidRPr="00C245E3">
        <w:rPr>
          <w:rFonts w:ascii="Verdana" w:hAnsi="Verdana"/>
          <w:sz w:val="18"/>
          <w:szCs w:val="18"/>
        </w:rPr>
        <w:t xml:space="preserve"> (CSR Risk Check</w:t>
      </w:r>
      <w:r w:rsidR="00FE7822" w:rsidRPr="00C245E3">
        <w:rPr>
          <w:rStyle w:val="Voetnootmarkering"/>
          <w:rFonts w:ascii="Verdana" w:hAnsi="Verdana"/>
          <w:sz w:val="18"/>
          <w:szCs w:val="18"/>
        </w:rPr>
        <w:footnoteReference w:id="18"/>
      </w:r>
      <w:r w:rsidR="00FE7822" w:rsidRPr="00C245E3">
        <w:rPr>
          <w:rFonts w:ascii="Verdana" w:hAnsi="Verdana"/>
          <w:sz w:val="18"/>
          <w:szCs w:val="18"/>
        </w:rPr>
        <w:t>)</w:t>
      </w:r>
      <w:r w:rsidR="005C49A2" w:rsidRPr="00C245E3">
        <w:rPr>
          <w:rFonts w:ascii="Verdana" w:hAnsi="Verdana"/>
          <w:sz w:val="18"/>
          <w:szCs w:val="18"/>
        </w:rPr>
        <w:t xml:space="preserve">, which must be submitted with the grant application. </w:t>
      </w:r>
      <w:r w:rsidRPr="00C245E3">
        <w:rPr>
          <w:rFonts w:ascii="Verdana" w:hAnsi="Verdana"/>
          <w:sz w:val="18"/>
          <w:szCs w:val="18"/>
        </w:rPr>
        <w:t>This is a short questionnaire that provides insight into the different steps of the due diligence process, and how the business in question could apply them. The self-assessment is mandatory. RVO may contact a business in response to information provided in the RBC self-assessment.</w:t>
      </w:r>
    </w:p>
    <w:p w14:paraId="5B0374A9" w14:textId="77777777" w:rsidR="00552E0D" w:rsidRPr="00C245E3" w:rsidRDefault="283477C2" w:rsidP="00C245E3">
      <w:pPr>
        <w:spacing w:line="240" w:lineRule="atLeast"/>
        <w:rPr>
          <w:rFonts w:ascii="Verdana" w:hAnsi="Verdana"/>
          <w:sz w:val="18"/>
          <w:szCs w:val="18"/>
        </w:rPr>
      </w:pPr>
      <w:r w:rsidRPr="00C245E3">
        <w:rPr>
          <w:rFonts w:ascii="Verdana" w:hAnsi="Verdana"/>
          <w:sz w:val="18"/>
          <w:szCs w:val="18"/>
        </w:rPr>
        <w:t>The partners must have adopted an integrity policy. and must have procedures in place to implement this policy within their own organisations. This integrity policy and these procedures should serve to prevent as far as possible any serious forms of inappropriate behaviour, including sexual misconduct, towards employees or other individuals during the implementation of the proposed activities by the partners and other parties they involve in the activities, and in the event of such incidents ensure that they are investigated and appropriate measures are taken to put an end as promptly as possible to the misconduct or inappropriate behaviour and mitigate the consequences. These procedures must be structured in a way that guarantees prompt reporting of any such incidents to RVO.</w:t>
      </w:r>
    </w:p>
    <w:p w14:paraId="336640AA" w14:textId="77777777" w:rsidR="00A2201B" w:rsidRPr="00C245E3" w:rsidRDefault="00A2201B" w:rsidP="00C245E3">
      <w:pPr>
        <w:spacing w:line="240" w:lineRule="atLeast"/>
        <w:rPr>
          <w:rFonts w:ascii="Verdana" w:hAnsi="Verdana"/>
          <w:sz w:val="18"/>
          <w:szCs w:val="18"/>
        </w:rPr>
      </w:pPr>
    </w:p>
    <w:p w14:paraId="74CB8F79" w14:textId="77777777" w:rsidR="00C872D6" w:rsidRPr="00C245E3" w:rsidRDefault="283477C2" w:rsidP="00C245E3">
      <w:pPr>
        <w:spacing w:line="240" w:lineRule="atLeast"/>
        <w:rPr>
          <w:rFonts w:ascii="Verdana" w:hAnsi="Verdana"/>
          <w:i/>
          <w:iCs/>
          <w:sz w:val="18"/>
          <w:szCs w:val="18"/>
        </w:rPr>
      </w:pPr>
      <w:r w:rsidRPr="00C245E3">
        <w:rPr>
          <w:rFonts w:ascii="Verdana" w:hAnsi="Verdana"/>
          <w:i/>
          <w:sz w:val="18"/>
          <w:szCs w:val="18"/>
        </w:rPr>
        <w:t>6.2 Opportunity for supplementation</w:t>
      </w:r>
    </w:p>
    <w:p w14:paraId="404C0D5E"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 xml:space="preserve">With regard to the application procedure, particular attention is drawn to article 7, paragraph 3 of the Ministry of Foreign Affairs Grants Decree. If an incomplete application is submitted, the Minister may request a supplement in accordance with section 4:5 of the General Administrative Law Act. In this case, the date and time of receipt of the application will be the date and time on which the supplement was received. </w:t>
      </w:r>
    </w:p>
    <w:p w14:paraId="472F4A4F"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Additionally, the shorter the time remaining between submission of the application and the deadline, the greater the risk that, if the application is incomplete, the Minister will not use their discretionary powers to request a supplement; this in connection with the time required to check all applications are complete and to request and submit supplements. In this case, it will no longer be possible to supplement the application and it will be assessed as it stands. This may result in rejection of the application.</w:t>
      </w:r>
    </w:p>
    <w:p w14:paraId="1E89E600"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Moreover, applications that are incomplete or insufficiently substantiated (in whole or in part) may be rejected on the grounds of failure to adequately satisfy the applicable requirements and criteria.</w:t>
      </w:r>
    </w:p>
    <w:p w14:paraId="36B79C18" w14:textId="77777777" w:rsidR="00C872D6" w:rsidRPr="00C245E3" w:rsidRDefault="283477C2" w:rsidP="00C245E3">
      <w:pPr>
        <w:spacing w:line="240" w:lineRule="atLeast"/>
        <w:rPr>
          <w:rFonts w:ascii="Verdana" w:hAnsi="Verdana"/>
          <w:sz w:val="18"/>
          <w:szCs w:val="18"/>
        </w:rPr>
      </w:pPr>
      <w:r w:rsidRPr="00C245E3">
        <w:rPr>
          <w:rFonts w:ascii="Verdana" w:hAnsi="Verdana"/>
          <w:sz w:val="18"/>
          <w:szCs w:val="18"/>
        </w:rPr>
        <w:t>When filling in the form, it is not sufficient to refer for the sake of brevity to other parts of the application, websites or annexes, except in so far as the application documentation explicitly states that this is acceptable. Incomplete applications may be rejected.</w:t>
      </w:r>
    </w:p>
    <w:p w14:paraId="3CEC10EC" w14:textId="77777777" w:rsidR="00316D1C" w:rsidRPr="00C245E3" w:rsidRDefault="00316D1C" w:rsidP="00C245E3">
      <w:pPr>
        <w:spacing w:line="240" w:lineRule="atLeast"/>
        <w:rPr>
          <w:rFonts w:ascii="Verdana" w:hAnsi="Verdana"/>
          <w:sz w:val="18"/>
          <w:szCs w:val="18"/>
        </w:rPr>
      </w:pPr>
    </w:p>
    <w:p w14:paraId="4751FD29"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7. Assessment of applications and allocation of resources</w:t>
      </w:r>
    </w:p>
    <w:p w14:paraId="2F69D60D" w14:textId="77777777" w:rsidR="00316D1C" w:rsidRPr="00C245E3" w:rsidRDefault="00316D1C" w:rsidP="00C245E3">
      <w:pPr>
        <w:spacing w:line="240" w:lineRule="atLeast"/>
        <w:rPr>
          <w:rFonts w:ascii="Verdana" w:hAnsi="Verdana"/>
          <w:sz w:val="18"/>
          <w:szCs w:val="18"/>
        </w:rPr>
      </w:pPr>
    </w:p>
    <w:p w14:paraId="0A45877E" w14:textId="77777777" w:rsidR="00316D1C" w:rsidRPr="00C245E3" w:rsidRDefault="283477C2" w:rsidP="00C245E3">
      <w:pPr>
        <w:spacing w:line="240" w:lineRule="atLeast"/>
        <w:rPr>
          <w:rFonts w:ascii="Verdana" w:eastAsia="Verdana" w:hAnsi="Verdana" w:cs="Verdana"/>
          <w:i/>
          <w:iCs/>
          <w:sz w:val="18"/>
          <w:szCs w:val="18"/>
        </w:rPr>
      </w:pPr>
      <w:r w:rsidRPr="00C245E3">
        <w:rPr>
          <w:rFonts w:ascii="Verdana" w:hAnsi="Verdana"/>
          <w:i/>
          <w:sz w:val="18"/>
          <w:szCs w:val="18"/>
        </w:rPr>
        <w:t>7.1</w:t>
      </w:r>
      <w:r w:rsidRPr="00C245E3">
        <w:rPr>
          <w:rFonts w:ascii="Verdana" w:hAnsi="Verdana"/>
          <w:i/>
          <w:sz w:val="18"/>
          <w:szCs w:val="18"/>
        </w:rPr>
        <w:tab/>
        <w:t xml:space="preserve">Assessment and allocation </w:t>
      </w:r>
    </w:p>
    <w:p w14:paraId="286BAD4A" w14:textId="77777777" w:rsidR="00316D1C" w:rsidRPr="00C245E3" w:rsidRDefault="283477C2" w:rsidP="00C245E3">
      <w:pPr>
        <w:spacing w:line="240" w:lineRule="atLeast"/>
        <w:rPr>
          <w:rFonts w:ascii="Verdana" w:eastAsia="Verdana" w:hAnsi="Verdana" w:cs="Verdana"/>
          <w:sz w:val="18"/>
          <w:szCs w:val="18"/>
        </w:rPr>
      </w:pPr>
      <w:r w:rsidRPr="00C245E3">
        <w:rPr>
          <w:rFonts w:ascii="Verdana" w:hAnsi="Verdana"/>
          <w:sz w:val="18"/>
          <w:szCs w:val="18"/>
        </w:rPr>
        <w:t>The provisions of the General Administrative Law Act, the Ministry of Foreign Affairs Grants Decree and the Ministry of Foreign Affairs Grant Regulations 2006 are fully applicable to the assessment of applications and the award of grants under this grant programme. Applications will be assessed in accordance with the above legislation and the requirements set out in this grant programme.</w:t>
      </w:r>
    </w:p>
    <w:p w14:paraId="4B409819" w14:textId="77777777" w:rsidR="00316D1C" w:rsidRPr="00C245E3" w:rsidRDefault="283477C2" w:rsidP="00C245E3">
      <w:pPr>
        <w:spacing w:line="240" w:lineRule="atLeast"/>
        <w:rPr>
          <w:rFonts w:ascii="Verdana" w:eastAsia="Verdana" w:hAnsi="Verdana" w:cs="Verdana"/>
          <w:sz w:val="18"/>
          <w:szCs w:val="18"/>
        </w:rPr>
      </w:pPr>
      <w:r w:rsidRPr="00C245E3">
        <w:rPr>
          <w:rFonts w:ascii="Verdana" w:hAnsi="Verdana"/>
          <w:sz w:val="18"/>
          <w:szCs w:val="18"/>
        </w:rPr>
        <w:t>To be eligible for a grant, applications must satisfy the requirements set out in sections 4 to 6. Only applications that meet those requirements will proceed to an assessment of their quality based on the substantive criteria set out in section 7.2. Proposals must attain at least 70 points (out of the maximum of 100 points) in total and the minimum number of points for each criterion in order to be eligible for a grant. See also section 7.2.</w:t>
      </w:r>
    </w:p>
    <w:p w14:paraId="16FE4528" w14:textId="0172C84D" w:rsidR="00316D1C" w:rsidRPr="00C245E3" w:rsidRDefault="00980B39" w:rsidP="00C245E3">
      <w:pPr>
        <w:spacing w:line="240" w:lineRule="atLeast"/>
        <w:rPr>
          <w:rFonts w:ascii="Verdana" w:hAnsi="Verdana"/>
          <w:sz w:val="18"/>
          <w:szCs w:val="18"/>
        </w:rPr>
      </w:pPr>
      <w:r w:rsidRPr="00C245E3">
        <w:rPr>
          <w:rFonts w:ascii="Verdana" w:hAnsi="Verdana"/>
          <w:sz w:val="18"/>
          <w:szCs w:val="18"/>
        </w:rPr>
        <w:lastRenderedPageBreak/>
        <w:t>For each funding round, t</w:t>
      </w:r>
      <w:r w:rsidR="283477C2" w:rsidRPr="00C245E3">
        <w:rPr>
          <w:rFonts w:ascii="Verdana" w:hAnsi="Verdana"/>
          <w:sz w:val="18"/>
          <w:szCs w:val="18"/>
        </w:rPr>
        <w:t>he allocation of funds available under each of the grant ceilings and themes (see section 4.5) will take place by means of a call for proposals,</w:t>
      </w:r>
      <w:r w:rsidR="00F23FB7" w:rsidRPr="00C245E3">
        <w:rPr>
          <w:rFonts w:ascii="Verdana" w:hAnsi="Verdana"/>
          <w:sz w:val="18"/>
          <w:szCs w:val="18"/>
        </w:rPr>
        <w:t xml:space="preserve"> </w:t>
      </w:r>
      <w:r w:rsidR="283477C2" w:rsidRPr="00C245E3">
        <w:rPr>
          <w:rFonts w:ascii="Verdana" w:hAnsi="Verdana"/>
          <w:sz w:val="18"/>
          <w:szCs w:val="18"/>
        </w:rPr>
        <w:t xml:space="preserve">on the basis of an assessment of quality based on the criteria laid down in section 7.2. Applications will be assessed for the theme under which they are submitted. Applications will be ranked according to their score on the qualitative assessment. Applications that do not meet the minimum quality requirements will be rejected. </w:t>
      </w:r>
    </w:p>
    <w:p w14:paraId="79E4495E" w14:textId="77777777" w:rsidR="00316D1C" w:rsidRPr="00C245E3" w:rsidRDefault="283477C2" w:rsidP="00C245E3">
      <w:pPr>
        <w:spacing w:line="240" w:lineRule="atLeast"/>
        <w:rPr>
          <w:rFonts w:ascii="Verdana" w:eastAsia="Verdana" w:hAnsi="Verdana" w:cs="Verdana"/>
          <w:sz w:val="18"/>
          <w:szCs w:val="18"/>
        </w:rPr>
      </w:pPr>
      <w:r w:rsidRPr="00C245E3">
        <w:rPr>
          <w:rFonts w:ascii="Verdana" w:hAnsi="Verdana"/>
          <w:sz w:val="18"/>
          <w:szCs w:val="18"/>
        </w:rPr>
        <w:t>If awarding grants to two or more applications with the same score on the qualitative assessment would exceed the grant ceiling for a particular theme, the application to be awarded the grant will be determined by drawing lots.</w:t>
      </w:r>
    </w:p>
    <w:p w14:paraId="2E54BDA6" w14:textId="77777777" w:rsidR="002D72F4" w:rsidRPr="00C245E3" w:rsidRDefault="002D72F4"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 xml:space="preserve">Grant decisions will be made no later than 22 weeks after the closing date of a funding round. </w:t>
      </w:r>
    </w:p>
    <w:p w14:paraId="03FC4E64" w14:textId="77777777" w:rsidR="002D72F4" w:rsidRPr="00C245E3" w:rsidRDefault="002D72F4" w:rsidP="00C245E3">
      <w:pPr>
        <w:spacing w:line="240" w:lineRule="atLeast"/>
        <w:rPr>
          <w:rFonts w:ascii="Verdana" w:eastAsia="Verdana" w:hAnsi="Verdana" w:cs="Verdana"/>
          <w:i/>
          <w:iCs/>
          <w:sz w:val="18"/>
          <w:szCs w:val="18"/>
        </w:rPr>
      </w:pPr>
    </w:p>
    <w:p w14:paraId="015817F1" w14:textId="77777777" w:rsidR="00780BF5" w:rsidRPr="00C245E3" w:rsidRDefault="283477C2" w:rsidP="00C245E3">
      <w:pPr>
        <w:spacing w:line="240" w:lineRule="atLeast"/>
        <w:rPr>
          <w:rFonts w:ascii="Verdana" w:hAnsi="Verdana"/>
          <w:sz w:val="18"/>
          <w:szCs w:val="18"/>
        </w:rPr>
      </w:pPr>
      <w:r w:rsidRPr="00C245E3">
        <w:rPr>
          <w:rFonts w:ascii="Verdana" w:hAnsi="Verdana"/>
          <w:i/>
          <w:sz w:val="18"/>
          <w:szCs w:val="18"/>
        </w:rPr>
        <w:t>7.2 Criteria</w:t>
      </w:r>
      <w:r w:rsidRPr="00C245E3">
        <w:rPr>
          <w:rFonts w:ascii="Verdana" w:hAnsi="Verdana"/>
          <w:sz w:val="18"/>
          <w:szCs w:val="18"/>
        </w:rPr>
        <w:br/>
        <w:t>The assessment of substantive quality is based on the extent to which a proposal satisfies each of the criteria and sub-criteria below. Applications must meet the minimum score for each of the criteria or be rejected. </w:t>
      </w:r>
      <w:bookmarkStart w:id="9" w:name="_Hlk161145718"/>
    </w:p>
    <w:p w14:paraId="2B9B2236" w14:textId="77777777" w:rsidR="00886151" w:rsidRPr="00C245E3" w:rsidRDefault="00886151" w:rsidP="00C245E3">
      <w:pPr>
        <w:spacing w:line="240" w:lineRule="atLeast"/>
        <w:rPr>
          <w:rFonts w:ascii="Verdana" w:hAnsi="Verdana" w:cs="Arial"/>
          <w:kern w:val="0"/>
          <w:sz w:val="18"/>
          <w:szCs w:val="18"/>
        </w:rPr>
      </w:pPr>
    </w:p>
    <w:p w14:paraId="305C2532" w14:textId="77777777" w:rsidR="00690527" w:rsidRPr="00C245E3" w:rsidRDefault="00690527" w:rsidP="00C245E3">
      <w:pPr>
        <w:pStyle w:val="Lijstalinea"/>
        <w:widowControl w:val="0"/>
        <w:numPr>
          <w:ilvl w:val="0"/>
          <w:numId w:val="13"/>
        </w:numPr>
        <w:autoSpaceDE w:val="0"/>
        <w:autoSpaceDN w:val="0"/>
        <w:adjustRightInd w:val="0"/>
        <w:spacing w:line="240" w:lineRule="atLeast"/>
        <w:rPr>
          <w:rFonts w:ascii="Verdana" w:hAnsi="Verdana" w:cs="Arial"/>
          <w:b/>
          <w:bCs/>
          <w:sz w:val="18"/>
          <w:szCs w:val="18"/>
        </w:rPr>
      </w:pPr>
      <w:r w:rsidRPr="00C245E3">
        <w:rPr>
          <w:rFonts w:ascii="Verdana" w:hAnsi="Verdana"/>
          <w:b/>
          <w:sz w:val="18"/>
          <w:szCs w:val="18"/>
        </w:rPr>
        <w:t>Contribution to policy goals (minimum 30 points, maximum 40 points)</w:t>
      </w:r>
    </w:p>
    <w:p w14:paraId="5A0BC15C" w14:textId="77777777" w:rsidR="00690527" w:rsidRPr="00C245E3" w:rsidRDefault="00690527" w:rsidP="00C245E3">
      <w:pPr>
        <w:pStyle w:val="Lijstalinea"/>
        <w:widowControl w:val="0"/>
        <w:numPr>
          <w:ilvl w:val="0"/>
          <w:numId w:val="1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 xml:space="preserve">The extent to which the project contributes to the achievement of the goals of the theme under which the application was submitted (see also section 4.5). </w:t>
      </w:r>
    </w:p>
    <w:p w14:paraId="1005CA3B" w14:textId="77777777" w:rsidR="00B4792A" w:rsidRPr="00C245E3" w:rsidRDefault="00B4792A" w:rsidP="00C245E3">
      <w:pPr>
        <w:pStyle w:val="Lijstalinea"/>
        <w:widowControl w:val="0"/>
        <w:numPr>
          <w:ilvl w:val="0"/>
          <w:numId w:val="1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The extent to which the project delivers positive results for the target group and is tailored to their needs.</w:t>
      </w:r>
    </w:p>
    <w:p w14:paraId="492BEAD0" w14:textId="3FADDE4C" w:rsidR="00113408" w:rsidRPr="00C245E3" w:rsidRDefault="00113408" w:rsidP="00C245E3">
      <w:pPr>
        <w:pStyle w:val="Lijstalinea"/>
        <w:widowControl w:val="0"/>
        <w:numPr>
          <w:ilvl w:val="0"/>
          <w:numId w:val="16"/>
        </w:numPr>
        <w:autoSpaceDE w:val="0"/>
        <w:autoSpaceDN w:val="0"/>
        <w:adjustRightInd w:val="0"/>
        <w:spacing w:line="240" w:lineRule="atLeast"/>
        <w:rPr>
          <w:rFonts w:ascii="Verdana" w:hAnsi="Verdana" w:cs="Arial"/>
          <w:sz w:val="18"/>
          <w:szCs w:val="18"/>
        </w:rPr>
      </w:pPr>
      <w:r w:rsidRPr="00C245E3">
        <w:rPr>
          <w:rFonts w:ascii="Verdana" w:hAnsi="Verdana"/>
          <w:color w:val="000000" w:themeColor="text1"/>
          <w:sz w:val="18"/>
          <w:szCs w:val="18"/>
        </w:rPr>
        <w:t xml:space="preserve">The extent to which the project aligns with (i) the policy of the partner country for the theme in question, (ii) Dutch policy relating to this theme, and (iii) the embassy’s multiannual plan </w:t>
      </w:r>
      <w:r w:rsidR="00477C90" w:rsidRPr="00C245E3">
        <w:rPr>
          <w:rFonts w:ascii="Verdana" w:hAnsi="Verdana"/>
          <w:color w:val="000000" w:themeColor="text1"/>
          <w:sz w:val="18"/>
          <w:szCs w:val="18"/>
        </w:rPr>
        <w:t xml:space="preserve">(summaries) </w:t>
      </w:r>
      <w:r w:rsidRPr="00C245E3">
        <w:rPr>
          <w:rFonts w:ascii="Verdana" w:hAnsi="Verdana"/>
          <w:color w:val="000000" w:themeColor="text1"/>
          <w:sz w:val="18"/>
          <w:szCs w:val="18"/>
        </w:rPr>
        <w:t>with regard to this theme.</w:t>
      </w:r>
      <w:r w:rsidR="00236019" w:rsidRPr="00C245E3">
        <w:rPr>
          <w:rStyle w:val="Voetnootmarkering"/>
          <w:rFonts w:ascii="Verdana" w:hAnsi="Verdana" w:cs="Arial"/>
          <w:color w:val="000000" w:themeColor="text1"/>
          <w:kern w:val="0"/>
          <w:sz w:val="18"/>
          <w:szCs w:val="18"/>
        </w:rPr>
        <w:footnoteReference w:id="19"/>
      </w:r>
      <w:r w:rsidRPr="00C245E3">
        <w:rPr>
          <w:rFonts w:ascii="Verdana" w:hAnsi="Verdana"/>
          <w:color w:val="000000" w:themeColor="text1"/>
          <w:sz w:val="18"/>
          <w:szCs w:val="18"/>
        </w:rPr>
        <w:t xml:space="preserve"> </w:t>
      </w:r>
    </w:p>
    <w:p w14:paraId="34DBFBF0" w14:textId="77777777" w:rsidR="002E265E" w:rsidRPr="00C245E3" w:rsidRDefault="00690527" w:rsidP="00C245E3">
      <w:pPr>
        <w:pStyle w:val="Lijstalinea"/>
        <w:widowControl w:val="0"/>
        <w:numPr>
          <w:ilvl w:val="0"/>
          <w:numId w:val="1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 xml:space="preserve">The extent to which the project contributes to climate adaptation and/or climate mitigation. </w:t>
      </w:r>
    </w:p>
    <w:p w14:paraId="765CFFE0" w14:textId="77777777" w:rsidR="00912626" w:rsidRPr="00C245E3" w:rsidRDefault="002429E7" w:rsidP="00C245E3">
      <w:pPr>
        <w:pStyle w:val="Lijstalinea"/>
        <w:widowControl w:val="0"/>
        <w:numPr>
          <w:ilvl w:val="0"/>
          <w:numId w:val="16"/>
        </w:numPr>
        <w:autoSpaceDE w:val="0"/>
        <w:autoSpaceDN w:val="0"/>
        <w:adjustRightInd w:val="0"/>
        <w:spacing w:line="240" w:lineRule="atLeast"/>
        <w:rPr>
          <w:rFonts w:ascii="Verdana" w:hAnsi="Verdana"/>
          <w:sz w:val="18"/>
          <w:szCs w:val="18"/>
        </w:rPr>
      </w:pPr>
      <w:r w:rsidRPr="00C245E3">
        <w:rPr>
          <w:rFonts w:ascii="Verdana" w:hAnsi="Verdana"/>
          <w:color w:val="000000" w:themeColor="text1"/>
          <w:sz w:val="18"/>
          <w:szCs w:val="18"/>
        </w:rPr>
        <w:t>The extent to which gender is incorporated in the programme’s design, implementation and monitoring.</w:t>
      </w:r>
    </w:p>
    <w:p w14:paraId="68D11E79" w14:textId="77777777" w:rsidR="00690527" w:rsidRPr="00C245E3" w:rsidRDefault="00912626" w:rsidP="00C245E3">
      <w:pPr>
        <w:pStyle w:val="Lijstalinea"/>
        <w:widowControl w:val="0"/>
        <w:numPr>
          <w:ilvl w:val="0"/>
          <w:numId w:val="16"/>
        </w:numPr>
        <w:autoSpaceDE w:val="0"/>
        <w:autoSpaceDN w:val="0"/>
        <w:adjustRightInd w:val="0"/>
        <w:spacing w:line="240" w:lineRule="atLeast"/>
        <w:rPr>
          <w:rFonts w:ascii="Verdana" w:hAnsi="Verdana"/>
          <w:sz w:val="18"/>
          <w:szCs w:val="18"/>
        </w:rPr>
      </w:pPr>
      <w:r w:rsidRPr="00C245E3">
        <w:rPr>
          <w:rFonts w:ascii="Verdana" w:hAnsi="Verdana"/>
          <w:color w:val="000000" w:themeColor="text1"/>
          <w:sz w:val="18"/>
          <w:szCs w:val="18"/>
        </w:rPr>
        <w:t>The extent to which the project helps reduce pressure on natural systems (biodiversity).</w:t>
      </w:r>
    </w:p>
    <w:p w14:paraId="398AE997" w14:textId="77777777" w:rsidR="005E1A58" w:rsidRPr="00C245E3" w:rsidRDefault="00690527" w:rsidP="00C245E3">
      <w:pPr>
        <w:pStyle w:val="Lijstalinea"/>
        <w:widowControl w:val="0"/>
        <w:numPr>
          <w:ilvl w:val="0"/>
          <w:numId w:val="1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 xml:space="preserve">The extent to which the project contributes to sector change in the partner country (by creating the necessary enabling conditions, improving services and/or products, and developing the market). </w:t>
      </w:r>
    </w:p>
    <w:p w14:paraId="21301355" w14:textId="77777777" w:rsidR="00690527" w:rsidRPr="00C245E3" w:rsidRDefault="00690527" w:rsidP="00C245E3">
      <w:pPr>
        <w:pStyle w:val="Lijstalinea"/>
        <w:widowControl w:val="0"/>
        <w:numPr>
          <w:ilvl w:val="0"/>
          <w:numId w:val="1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The extent to which insight can be demonstrated into other, similar activities under this theme, and the extent to which the proposed activities provide additionality.</w:t>
      </w:r>
    </w:p>
    <w:p w14:paraId="4C6276AD" w14:textId="77777777" w:rsidR="009565F5" w:rsidRPr="00C245E3" w:rsidRDefault="009565F5" w:rsidP="00C245E3">
      <w:pPr>
        <w:pStyle w:val="Lijstalinea"/>
        <w:widowControl w:val="0"/>
        <w:numPr>
          <w:ilvl w:val="0"/>
          <w:numId w:val="16"/>
        </w:numPr>
        <w:autoSpaceDE w:val="0"/>
        <w:autoSpaceDN w:val="0"/>
        <w:adjustRightInd w:val="0"/>
        <w:spacing w:line="240" w:lineRule="atLeast"/>
        <w:rPr>
          <w:rFonts w:ascii="Verdana" w:hAnsi="Verdana" w:cs="Arial"/>
          <w:sz w:val="18"/>
          <w:szCs w:val="18"/>
        </w:rPr>
      </w:pPr>
      <w:r w:rsidRPr="00C245E3">
        <w:rPr>
          <w:rFonts w:ascii="Verdana" w:hAnsi="Verdana"/>
          <w:sz w:val="18"/>
          <w:szCs w:val="18"/>
        </w:rPr>
        <w:t>The extent to which market distortion in the partner country is kept to a minimum.</w:t>
      </w:r>
      <w:r w:rsidR="0016377E" w:rsidRPr="00C245E3">
        <w:rPr>
          <w:rStyle w:val="Voetnootmarkering"/>
          <w:rFonts w:ascii="Verdana" w:hAnsi="Verdana" w:cs="Arial"/>
          <w:kern w:val="0"/>
          <w:sz w:val="18"/>
          <w:szCs w:val="18"/>
        </w:rPr>
        <w:footnoteReference w:id="20"/>
      </w:r>
    </w:p>
    <w:p w14:paraId="786F99AB" w14:textId="77777777" w:rsidR="005E1A58" w:rsidRPr="00C245E3" w:rsidRDefault="005E1A58" w:rsidP="00C245E3">
      <w:pPr>
        <w:widowControl w:val="0"/>
        <w:autoSpaceDE w:val="0"/>
        <w:autoSpaceDN w:val="0"/>
        <w:adjustRightInd w:val="0"/>
        <w:spacing w:line="240" w:lineRule="atLeast"/>
        <w:rPr>
          <w:rFonts w:ascii="Verdana" w:hAnsi="Verdana" w:cs="Arial"/>
          <w:sz w:val="18"/>
          <w:szCs w:val="18"/>
        </w:rPr>
      </w:pPr>
    </w:p>
    <w:p w14:paraId="6C67389E" w14:textId="77777777" w:rsidR="00690527" w:rsidRPr="00C245E3" w:rsidRDefault="0012109D" w:rsidP="00C245E3">
      <w:pPr>
        <w:pStyle w:val="Lijstalinea"/>
        <w:widowControl w:val="0"/>
        <w:numPr>
          <w:ilvl w:val="0"/>
          <w:numId w:val="13"/>
        </w:numPr>
        <w:autoSpaceDE w:val="0"/>
        <w:autoSpaceDN w:val="0"/>
        <w:adjustRightInd w:val="0"/>
        <w:spacing w:line="240" w:lineRule="atLeast"/>
        <w:rPr>
          <w:rFonts w:ascii="Verdana" w:hAnsi="Verdana" w:cs="Arial"/>
          <w:b/>
          <w:bCs/>
          <w:sz w:val="18"/>
          <w:szCs w:val="18"/>
        </w:rPr>
      </w:pPr>
      <w:r w:rsidRPr="00C245E3">
        <w:rPr>
          <w:rFonts w:ascii="Verdana" w:hAnsi="Verdana"/>
          <w:b/>
          <w:sz w:val="18"/>
          <w:szCs w:val="18"/>
        </w:rPr>
        <w:t>Partnership (minimum 20 points, maximum 30 points)</w:t>
      </w:r>
    </w:p>
    <w:p w14:paraId="4EF3FD35" w14:textId="77777777" w:rsidR="005E1A58" w:rsidRPr="00C245E3" w:rsidRDefault="283477C2" w:rsidP="00C245E3">
      <w:pPr>
        <w:pStyle w:val="Lijstalinea"/>
        <w:numPr>
          <w:ilvl w:val="0"/>
          <w:numId w:val="14"/>
        </w:numPr>
        <w:tabs>
          <w:tab w:val="left" w:pos="426"/>
        </w:tabs>
        <w:spacing w:line="240" w:lineRule="atLeast"/>
        <w:rPr>
          <w:rFonts w:ascii="Verdana" w:hAnsi="Verdana"/>
          <w:sz w:val="18"/>
          <w:szCs w:val="18"/>
        </w:rPr>
      </w:pPr>
      <w:r w:rsidRPr="00C245E3">
        <w:rPr>
          <w:rFonts w:ascii="Verdana" w:hAnsi="Verdana"/>
          <w:sz w:val="18"/>
          <w:szCs w:val="18"/>
        </w:rPr>
        <w:t>The extent to which the partnership’s form/composition is conducive to the achievement of the project objectives.</w:t>
      </w:r>
    </w:p>
    <w:p w14:paraId="0145C52E" w14:textId="77777777" w:rsidR="00690527" w:rsidRPr="00C245E3" w:rsidRDefault="283477C2" w:rsidP="00C245E3">
      <w:pPr>
        <w:pStyle w:val="Lijstalinea"/>
        <w:numPr>
          <w:ilvl w:val="0"/>
          <w:numId w:val="14"/>
        </w:numPr>
        <w:tabs>
          <w:tab w:val="left" w:pos="426"/>
        </w:tabs>
        <w:spacing w:line="240" w:lineRule="atLeast"/>
        <w:rPr>
          <w:rFonts w:ascii="Verdana" w:hAnsi="Verdana"/>
          <w:sz w:val="18"/>
          <w:szCs w:val="18"/>
        </w:rPr>
      </w:pPr>
      <w:r w:rsidRPr="00C245E3">
        <w:rPr>
          <w:rFonts w:ascii="Verdana" w:hAnsi="Verdana"/>
          <w:sz w:val="18"/>
          <w:szCs w:val="18"/>
        </w:rPr>
        <w:t xml:space="preserve">The extent to which each partner is capable of making a substantial contribution towards the achievement of the project objectives. </w:t>
      </w:r>
    </w:p>
    <w:p w14:paraId="6CAA30E7" w14:textId="77777777" w:rsidR="0081773C" w:rsidRPr="00C245E3" w:rsidRDefault="0081773C" w:rsidP="00C245E3">
      <w:pPr>
        <w:pStyle w:val="Lijstalinea"/>
        <w:numPr>
          <w:ilvl w:val="0"/>
          <w:numId w:val="14"/>
        </w:numPr>
        <w:tabs>
          <w:tab w:val="left" w:pos="426"/>
        </w:tabs>
        <w:spacing w:line="240" w:lineRule="atLeast"/>
        <w:rPr>
          <w:rFonts w:ascii="Verdana" w:hAnsi="Verdana"/>
          <w:sz w:val="18"/>
          <w:szCs w:val="18"/>
        </w:rPr>
      </w:pPr>
      <w:r w:rsidRPr="00C245E3">
        <w:rPr>
          <w:rFonts w:ascii="Verdana" w:hAnsi="Verdana"/>
          <w:sz w:val="18"/>
          <w:szCs w:val="18"/>
        </w:rPr>
        <w:t>The extent to which the partners, in particular the lead party, possess the required expertise and organisational capacity and are in a position to influence decision-making and perform their role in the project.   </w:t>
      </w:r>
    </w:p>
    <w:p w14:paraId="5822FACA" w14:textId="77777777" w:rsidR="00690527" w:rsidRPr="00C245E3" w:rsidRDefault="00690527" w:rsidP="00C245E3">
      <w:pPr>
        <w:pStyle w:val="Lijstalinea"/>
        <w:numPr>
          <w:ilvl w:val="0"/>
          <w:numId w:val="14"/>
        </w:numPr>
        <w:tabs>
          <w:tab w:val="left" w:pos="426"/>
        </w:tabs>
        <w:spacing w:line="240" w:lineRule="atLeast"/>
        <w:rPr>
          <w:rFonts w:ascii="Verdana" w:hAnsi="Verdana" w:cs="Arial"/>
          <w:sz w:val="18"/>
          <w:szCs w:val="18"/>
        </w:rPr>
      </w:pPr>
      <w:r w:rsidRPr="00C245E3">
        <w:rPr>
          <w:rFonts w:ascii="Verdana" w:hAnsi="Verdana"/>
          <w:sz w:val="18"/>
          <w:szCs w:val="18"/>
        </w:rPr>
        <w:t>The extent to which the partners have made clear agreements on the division of roles, decision-making, responsibilities, cooperation and sanctions in the case of inadequate performance by one of the partners.</w:t>
      </w:r>
    </w:p>
    <w:p w14:paraId="50FBF9EA" w14:textId="46722959" w:rsidR="00690527" w:rsidRPr="00C245E3" w:rsidRDefault="00C55F5C" w:rsidP="00C245E3">
      <w:pPr>
        <w:pStyle w:val="Lijstalinea"/>
        <w:numPr>
          <w:ilvl w:val="0"/>
          <w:numId w:val="14"/>
        </w:numPr>
        <w:spacing w:line="240" w:lineRule="atLeast"/>
        <w:rPr>
          <w:rFonts w:ascii="Verdana" w:hAnsi="Verdana" w:cs="Arial"/>
          <w:kern w:val="0"/>
          <w:sz w:val="18"/>
          <w:szCs w:val="18"/>
        </w:rPr>
      </w:pPr>
      <w:r w:rsidRPr="00C245E3">
        <w:rPr>
          <w:rFonts w:ascii="Verdana" w:hAnsi="Verdana"/>
          <w:sz w:val="18"/>
          <w:szCs w:val="18"/>
        </w:rPr>
        <w:lastRenderedPageBreak/>
        <w:t xml:space="preserve">The extent to which the project </w:t>
      </w:r>
      <w:r w:rsidR="00C245E3" w:rsidRPr="00C245E3">
        <w:rPr>
          <w:rFonts w:ascii="Verdana" w:hAnsi="Verdana"/>
          <w:sz w:val="18"/>
          <w:szCs w:val="18"/>
        </w:rPr>
        <w:t>is sufficiently supported and embedded locally</w:t>
      </w:r>
      <w:r w:rsidRPr="00C245E3">
        <w:rPr>
          <w:rFonts w:ascii="Verdana" w:hAnsi="Verdana"/>
          <w:sz w:val="18"/>
          <w:szCs w:val="18"/>
        </w:rPr>
        <w:t xml:space="preserve"> to ensure the project’s implementation and, ultimately, upscaling. This concerns insight into the possible consequences for local stakeholders, local markets and local sectors, including the local public actors relevant to the project.  </w:t>
      </w:r>
    </w:p>
    <w:p w14:paraId="6DAF5A60" w14:textId="77777777" w:rsidR="003A5350" w:rsidRPr="00C245E3" w:rsidRDefault="003A5350" w:rsidP="00C245E3">
      <w:pPr>
        <w:pStyle w:val="Lijstalinea"/>
        <w:spacing w:line="240" w:lineRule="atLeast"/>
        <w:ind w:left="360"/>
        <w:rPr>
          <w:rFonts w:ascii="Verdana" w:hAnsi="Verdana" w:cs="Arial"/>
          <w:kern w:val="0"/>
          <w:sz w:val="18"/>
          <w:szCs w:val="18"/>
        </w:rPr>
      </w:pPr>
    </w:p>
    <w:p w14:paraId="7B2B02F1" w14:textId="77777777" w:rsidR="00690527" w:rsidRPr="00C245E3" w:rsidRDefault="00690527" w:rsidP="00C245E3">
      <w:pPr>
        <w:pStyle w:val="Lijstalinea"/>
        <w:widowControl w:val="0"/>
        <w:numPr>
          <w:ilvl w:val="0"/>
          <w:numId w:val="13"/>
        </w:numPr>
        <w:autoSpaceDE w:val="0"/>
        <w:autoSpaceDN w:val="0"/>
        <w:adjustRightInd w:val="0"/>
        <w:spacing w:line="240" w:lineRule="atLeast"/>
        <w:rPr>
          <w:rFonts w:ascii="Verdana" w:hAnsi="Verdana" w:cs="Arial"/>
          <w:b/>
          <w:bCs/>
          <w:sz w:val="18"/>
          <w:szCs w:val="18"/>
          <w:lang w:val="fr-FR"/>
        </w:rPr>
      </w:pPr>
      <w:r w:rsidRPr="00C245E3">
        <w:rPr>
          <w:rFonts w:ascii="Verdana" w:hAnsi="Verdana"/>
          <w:b/>
          <w:sz w:val="18"/>
          <w:szCs w:val="18"/>
          <w:lang w:val="fr-FR"/>
        </w:rPr>
        <w:t>Action plan (minimum 20 points, maximum 30 points)</w:t>
      </w:r>
    </w:p>
    <w:p w14:paraId="3C1CD14F" w14:textId="77777777" w:rsidR="00690527" w:rsidRPr="00C245E3" w:rsidRDefault="00690527" w:rsidP="00C245E3">
      <w:pPr>
        <w:pStyle w:val="Lijstalinea"/>
        <w:widowControl w:val="0"/>
        <w:numPr>
          <w:ilvl w:val="0"/>
          <w:numId w:val="15"/>
        </w:numPr>
        <w:autoSpaceDE w:val="0"/>
        <w:autoSpaceDN w:val="0"/>
        <w:adjustRightInd w:val="0"/>
        <w:spacing w:line="240" w:lineRule="atLeast"/>
        <w:rPr>
          <w:rFonts w:ascii="Verdana" w:hAnsi="Verdana" w:cs="Arial"/>
          <w:sz w:val="18"/>
          <w:szCs w:val="18"/>
        </w:rPr>
      </w:pPr>
      <w:r w:rsidRPr="00C245E3">
        <w:rPr>
          <w:rFonts w:ascii="Verdana" w:hAnsi="Verdana"/>
          <w:sz w:val="18"/>
          <w:szCs w:val="18"/>
        </w:rPr>
        <w:t>The extent to which the project activities are based on sound and accurate contextual, stakeholder, problem and risk analyses with due regard for root causes (social, ecological and economic aspects).</w:t>
      </w:r>
    </w:p>
    <w:p w14:paraId="3896A3FC" w14:textId="77777777" w:rsidR="006808F3" w:rsidRPr="00C245E3" w:rsidRDefault="00690527" w:rsidP="00C245E3">
      <w:pPr>
        <w:pStyle w:val="Lijstalinea"/>
        <w:numPr>
          <w:ilvl w:val="0"/>
          <w:numId w:val="15"/>
        </w:numPr>
        <w:spacing w:line="240" w:lineRule="atLeast"/>
        <w:rPr>
          <w:rFonts w:ascii="Verdana" w:hAnsi="Verdana" w:cs="Arial"/>
          <w:kern w:val="0"/>
          <w:sz w:val="18"/>
          <w:szCs w:val="18"/>
        </w:rPr>
      </w:pPr>
      <w:r w:rsidRPr="00C245E3">
        <w:rPr>
          <w:rFonts w:ascii="Verdana" w:hAnsi="Verdana"/>
          <w:sz w:val="18"/>
          <w:szCs w:val="18"/>
        </w:rPr>
        <w:t xml:space="preserve">The extent to which the project plan is effective and efficient, and includes a clear timetable of activities and clearly formulated, realistic and measurable results (both quantitative and qualitative). </w:t>
      </w:r>
    </w:p>
    <w:p w14:paraId="061DBDB0" w14:textId="77777777" w:rsidR="006808F3" w:rsidRPr="00C245E3" w:rsidRDefault="006808F3" w:rsidP="00C245E3">
      <w:pPr>
        <w:pStyle w:val="Lijstalinea"/>
        <w:numPr>
          <w:ilvl w:val="0"/>
          <w:numId w:val="15"/>
        </w:numPr>
        <w:spacing w:line="240" w:lineRule="atLeast"/>
        <w:rPr>
          <w:rFonts w:ascii="Verdana" w:hAnsi="Verdana" w:cs="Arial"/>
          <w:kern w:val="0"/>
          <w:sz w:val="18"/>
          <w:szCs w:val="18"/>
        </w:rPr>
      </w:pPr>
      <w:r w:rsidRPr="00C245E3">
        <w:rPr>
          <w:rFonts w:ascii="Verdana" w:hAnsi="Verdana"/>
          <w:sz w:val="18"/>
          <w:szCs w:val="18"/>
        </w:rPr>
        <w:t>The extent to which the project budget is reasonable and realistic, with due regard for the proportionality of the cost of the activities to their intended impact, in both qualitative and quantitative terms, and above all value for money. </w:t>
      </w:r>
    </w:p>
    <w:p w14:paraId="3E02B2D3" w14:textId="77777777" w:rsidR="006808F3" w:rsidRPr="00C245E3" w:rsidRDefault="006808F3" w:rsidP="00C245E3">
      <w:pPr>
        <w:pStyle w:val="Lijstalinea"/>
        <w:numPr>
          <w:ilvl w:val="0"/>
          <w:numId w:val="15"/>
        </w:numPr>
        <w:spacing w:line="240" w:lineRule="atLeast"/>
        <w:rPr>
          <w:rFonts w:ascii="Verdana" w:hAnsi="Verdana" w:cs="Arial"/>
          <w:kern w:val="0"/>
          <w:sz w:val="18"/>
          <w:szCs w:val="18"/>
        </w:rPr>
      </w:pPr>
      <w:r w:rsidRPr="00C245E3">
        <w:rPr>
          <w:rFonts w:ascii="Verdana" w:hAnsi="Verdana"/>
          <w:sz w:val="18"/>
          <w:szCs w:val="18"/>
        </w:rPr>
        <w:t>The likelihood that the intervention will result in the achievement of the project objectives as described in the intervention logic (see appendix 3).</w:t>
      </w:r>
    </w:p>
    <w:p w14:paraId="089310BD" w14:textId="77777777" w:rsidR="006808F3" w:rsidRPr="00C245E3" w:rsidRDefault="00236019" w:rsidP="00C245E3">
      <w:pPr>
        <w:pStyle w:val="Lijstalinea"/>
        <w:numPr>
          <w:ilvl w:val="0"/>
          <w:numId w:val="15"/>
        </w:numPr>
        <w:spacing w:line="240" w:lineRule="atLeast"/>
        <w:rPr>
          <w:rFonts w:ascii="Verdana" w:hAnsi="Verdana" w:cs="Arial"/>
          <w:kern w:val="0"/>
          <w:sz w:val="18"/>
          <w:szCs w:val="18"/>
        </w:rPr>
      </w:pPr>
      <w:r w:rsidRPr="00C245E3">
        <w:rPr>
          <w:rFonts w:ascii="Verdana" w:hAnsi="Verdana"/>
          <w:sz w:val="18"/>
          <w:szCs w:val="18"/>
        </w:rPr>
        <w:t>The extent to which the plan for monitoring, evaluation and learning (MEL) is designed for monitoring the project’s progress, accounting in a transparent way for this progress, and enabling timely adjustments to activities within the parameters of the grant programme.</w:t>
      </w:r>
    </w:p>
    <w:p w14:paraId="0CF5CC19" w14:textId="77777777" w:rsidR="52592FE2" w:rsidRPr="00C245E3" w:rsidRDefault="283477C2" w:rsidP="00C245E3">
      <w:pPr>
        <w:pStyle w:val="Lijstalinea"/>
        <w:numPr>
          <w:ilvl w:val="0"/>
          <w:numId w:val="15"/>
        </w:numPr>
        <w:spacing w:line="240" w:lineRule="atLeast"/>
        <w:rPr>
          <w:rFonts w:ascii="Verdana" w:hAnsi="Verdana"/>
          <w:sz w:val="18"/>
          <w:szCs w:val="18"/>
        </w:rPr>
      </w:pPr>
      <w:r w:rsidRPr="00C245E3">
        <w:rPr>
          <w:rFonts w:ascii="Verdana" w:hAnsi="Verdana"/>
          <w:sz w:val="18"/>
          <w:szCs w:val="18"/>
        </w:rPr>
        <w:t>The extent to which the project is financially sustainable, as demonstrated by an inclusive business case, the target group and the private partner in the partnership.</w:t>
      </w:r>
    </w:p>
    <w:p w14:paraId="4CA39FB7" w14:textId="77777777" w:rsidR="004660F6" w:rsidRPr="00C245E3" w:rsidRDefault="009B743B" w:rsidP="00C245E3">
      <w:pPr>
        <w:pStyle w:val="Lijstalinea"/>
        <w:numPr>
          <w:ilvl w:val="0"/>
          <w:numId w:val="15"/>
        </w:numPr>
        <w:spacing w:line="240" w:lineRule="atLeast"/>
        <w:rPr>
          <w:rFonts w:ascii="Verdana" w:hAnsi="Verdana" w:cs="Arial"/>
          <w:kern w:val="0"/>
          <w:sz w:val="18"/>
          <w:szCs w:val="18"/>
        </w:rPr>
      </w:pPr>
      <w:r w:rsidRPr="00C245E3">
        <w:rPr>
          <w:rFonts w:ascii="Verdana" w:hAnsi="Verdana"/>
          <w:sz w:val="18"/>
          <w:szCs w:val="18"/>
        </w:rPr>
        <w:t xml:space="preserve">The extent to which the main RBC risks are identified and measures are formulated to mitigate these risks. </w:t>
      </w:r>
    </w:p>
    <w:p w14:paraId="3C331802" w14:textId="77777777" w:rsidR="00B541B9" w:rsidRPr="00C245E3" w:rsidRDefault="00B541B9" w:rsidP="00C245E3">
      <w:pPr>
        <w:pStyle w:val="Lijstalinea"/>
        <w:numPr>
          <w:ilvl w:val="0"/>
          <w:numId w:val="15"/>
        </w:numPr>
        <w:spacing w:line="240" w:lineRule="atLeast"/>
        <w:rPr>
          <w:rFonts w:ascii="Verdana" w:hAnsi="Verdana" w:cs="Arial"/>
          <w:kern w:val="0"/>
          <w:sz w:val="18"/>
          <w:szCs w:val="18"/>
        </w:rPr>
      </w:pPr>
      <w:r w:rsidRPr="00C245E3">
        <w:rPr>
          <w:rFonts w:ascii="Verdana" w:hAnsi="Verdana"/>
          <w:sz w:val="18"/>
          <w:szCs w:val="18"/>
        </w:rPr>
        <w:t>The extent to which the project complies with the OECD Guidelines for Multinational Enterprises and the extent to which it is convincingly demonstrated that the project will not negatively affect the environment, biodiversity, labour conditions, land rights, human rights and animal welfare. </w:t>
      </w:r>
    </w:p>
    <w:p w14:paraId="0F2CC71E" w14:textId="77777777" w:rsidR="0062122F" w:rsidRPr="00C245E3" w:rsidRDefault="0062122F" w:rsidP="00C245E3">
      <w:pPr>
        <w:pStyle w:val="Lijstalinea"/>
        <w:numPr>
          <w:ilvl w:val="0"/>
          <w:numId w:val="15"/>
        </w:numPr>
        <w:spacing w:line="240" w:lineRule="atLeast"/>
        <w:rPr>
          <w:rFonts w:ascii="Verdana" w:hAnsi="Verdana" w:cs="Arial"/>
          <w:kern w:val="0"/>
          <w:sz w:val="18"/>
          <w:szCs w:val="18"/>
        </w:rPr>
      </w:pPr>
      <w:r w:rsidRPr="00C245E3">
        <w:rPr>
          <w:rFonts w:ascii="Verdana" w:hAnsi="Verdana"/>
          <w:sz w:val="18"/>
          <w:szCs w:val="18"/>
        </w:rPr>
        <w:t xml:space="preserve">The extent to which the project can be scaled up or would be eligible for follow-up funding by large investment organisations or international financial institutions. </w:t>
      </w:r>
    </w:p>
    <w:p w14:paraId="43DF7AD4" w14:textId="77777777" w:rsidR="00A0607D" w:rsidRPr="00C245E3" w:rsidRDefault="00A0607D" w:rsidP="00C245E3">
      <w:pPr>
        <w:widowControl w:val="0"/>
        <w:autoSpaceDE w:val="0"/>
        <w:autoSpaceDN w:val="0"/>
        <w:adjustRightInd w:val="0"/>
        <w:spacing w:line="240" w:lineRule="atLeast"/>
        <w:rPr>
          <w:rFonts w:ascii="Verdana" w:hAnsi="Verdana" w:cs="Arial"/>
          <w:kern w:val="0"/>
          <w:sz w:val="18"/>
          <w:szCs w:val="18"/>
        </w:rPr>
      </w:pPr>
    </w:p>
    <w:p w14:paraId="6F77E1F1" w14:textId="77777777" w:rsidR="00780BF5" w:rsidRPr="00C245E3" w:rsidRDefault="00780BF5"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In aid of its assessment, RVO may undertake action to verify any assumptions or statements made in the application. To this end, it may obtain the information needed to properly assess the quality of the application.</w:t>
      </w:r>
    </w:p>
    <w:p w14:paraId="297B07A8" w14:textId="78BD010A" w:rsidR="00780BF5" w:rsidRPr="00C245E3" w:rsidRDefault="00780BF5" w:rsidP="00C245E3">
      <w:pPr>
        <w:widowControl w:val="0"/>
        <w:autoSpaceDE w:val="0"/>
        <w:autoSpaceDN w:val="0"/>
        <w:adjustRightInd w:val="0"/>
        <w:spacing w:line="240" w:lineRule="atLeast"/>
        <w:rPr>
          <w:rFonts w:ascii="Verdana" w:hAnsi="Verdana" w:cs="Arial"/>
          <w:sz w:val="18"/>
          <w:szCs w:val="18"/>
        </w:rPr>
      </w:pPr>
      <w:r w:rsidRPr="00C245E3">
        <w:rPr>
          <w:rFonts w:ascii="Verdana" w:hAnsi="Verdana"/>
          <w:sz w:val="18"/>
          <w:szCs w:val="18"/>
        </w:rPr>
        <w:t>During the substantive assessment procedure, RVO may also consult the relevant embassies and/or external experts, such as Invest International, with regard to the assessment of the business case.</w:t>
      </w:r>
    </w:p>
    <w:bookmarkEnd w:id="9"/>
    <w:p w14:paraId="6FE18F65" w14:textId="77777777" w:rsidR="00763EF2" w:rsidRPr="00C245E3" w:rsidRDefault="009D3A84" w:rsidP="00C245E3">
      <w:pPr>
        <w:spacing w:line="240" w:lineRule="atLeast"/>
        <w:rPr>
          <w:rFonts w:ascii="Verdana" w:eastAsia="Verdana" w:hAnsi="Verdana" w:cs="Verdana"/>
          <w:color w:val="000000" w:themeColor="text1"/>
          <w:sz w:val="18"/>
          <w:szCs w:val="18"/>
        </w:rPr>
      </w:pPr>
      <w:r w:rsidRPr="00C245E3">
        <w:rPr>
          <w:rFonts w:ascii="Verdana" w:hAnsi="Verdana"/>
          <w:color w:val="000000" w:themeColor="text1"/>
          <w:sz w:val="18"/>
          <w:szCs w:val="18"/>
        </w:rPr>
        <w:t xml:space="preserve"> </w:t>
      </w:r>
    </w:p>
    <w:p w14:paraId="3B470DF4"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8. Grounds for rejection</w:t>
      </w:r>
    </w:p>
    <w:p w14:paraId="0184D624" w14:textId="77777777" w:rsidR="00B7272E" w:rsidRPr="00C245E3" w:rsidRDefault="283477C2" w:rsidP="00C245E3">
      <w:pPr>
        <w:spacing w:line="240" w:lineRule="atLeast"/>
        <w:rPr>
          <w:rFonts w:ascii="Verdana" w:hAnsi="Verdana"/>
          <w:sz w:val="18"/>
          <w:szCs w:val="18"/>
        </w:rPr>
      </w:pPr>
      <w:r w:rsidRPr="00C245E3">
        <w:rPr>
          <w:rFonts w:ascii="Verdana" w:hAnsi="Verdana"/>
          <w:sz w:val="18"/>
          <w:szCs w:val="18"/>
        </w:rPr>
        <w:t xml:space="preserve">In addition to the grounds for rejection set out in section 4:35 of the General Administrative Law Act, a grant application will be rejected if it does not satisfy the provisions of this grant programme or if the available grant funds are insufficient. </w:t>
      </w:r>
    </w:p>
    <w:p w14:paraId="6017C578" w14:textId="77777777" w:rsidR="001F54A3" w:rsidRPr="00C245E3" w:rsidRDefault="001F54A3" w:rsidP="00C245E3">
      <w:pPr>
        <w:spacing w:line="240" w:lineRule="atLeast"/>
        <w:rPr>
          <w:rFonts w:ascii="Verdana" w:hAnsi="Verdana" w:cs="Arial"/>
          <w:kern w:val="0"/>
          <w:sz w:val="18"/>
          <w:szCs w:val="18"/>
        </w:rPr>
      </w:pPr>
    </w:p>
    <w:p w14:paraId="0AFF74C0"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9. Monitoring</w:t>
      </w:r>
    </w:p>
    <w:p w14:paraId="670DBA5B" w14:textId="77777777" w:rsidR="005933B9" w:rsidRPr="00C245E3" w:rsidRDefault="283477C2" w:rsidP="00C245E3">
      <w:pPr>
        <w:spacing w:line="240" w:lineRule="atLeast"/>
        <w:rPr>
          <w:rFonts w:ascii="Verdana" w:hAnsi="Verdana"/>
          <w:sz w:val="18"/>
          <w:szCs w:val="18"/>
        </w:rPr>
      </w:pPr>
      <w:r w:rsidRPr="00C245E3">
        <w:rPr>
          <w:rFonts w:ascii="Verdana" w:hAnsi="Verdana"/>
          <w:sz w:val="18"/>
          <w:szCs w:val="18"/>
        </w:rPr>
        <w:t xml:space="preserve">RVO will carry out random checks to assess and where possible monitor the proper use of grant funds, verifying regularity and efficiency under the terms of the grant decision. </w:t>
      </w:r>
    </w:p>
    <w:p w14:paraId="14B313C5" w14:textId="77777777" w:rsidR="00962830" w:rsidRPr="00C245E3" w:rsidRDefault="00962830" w:rsidP="00C245E3">
      <w:pPr>
        <w:spacing w:line="240" w:lineRule="atLeast"/>
        <w:rPr>
          <w:rFonts w:ascii="Verdana" w:hAnsi="Verdana"/>
          <w:sz w:val="18"/>
          <w:szCs w:val="18"/>
        </w:rPr>
      </w:pPr>
    </w:p>
    <w:p w14:paraId="350A36D2" w14:textId="77777777" w:rsidR="00C872D6" w:rsidRPr="00C245E3" w:rsidRDefault="283477C2" w:rsidP="00C245E3">
      <w:pPr>
        <w:tabs>
          <w:tab w:val="left" w:pos="2779"/>
        </w:tabs>
        <w:spacing w:line="240" w:lineRule="atLeast"/>
        <w:rPr>
          <w:rFonts w:ascii="Verdana" w:hAnsi="Verdana"/>
          <w:b/>
          <w:bCs/>
          <w:sz w:val="18"/>
          <w:szCs w:val="18"/>
        </w:rPr>
      </w:pPr>
      <w:r w:rsidRPr="00C245E3">
        <w:rPr>
          <w:rFonts w:ascii="Verdana" w:hAnsi="Verdana"/>
          <w:b/>
          <w:sz w:val="18"/>
          <w:szCs w:val="18"/>
        </w:rPr>
        <w:t>10. Obligations</w:t>
      </w:r>
    </w:p>
    <w:p w14:paraId="07429347" w14:textId="77777777" w:rsidR="005933B9" w:rsidRPr="00C245E3" w:rsidRDefault="283477C2" w:rsidP="00C245E3">
      <w:pPr>
        <w:spacing w:line="240" w:lineRule="atLeast"/>
        <w:rPr>
          <w:rFonts w:ascii="Verdana" w:eastAsia="Verdana" w:hAnsi="Verdana" w:cs="Verdana"/>
          <w:sz w:val="18"/>
          <w:szCs w:val="18"/>
        </w:rPr>
      </w:pPr>
      <w:r w:rsidRPr="00C245E3">
        <w:rPr>
          <w:rFonts w:ascii="Verdana" w:hAnsi="Verdana"/>
          <w:sz w:val="18"/>
          <w:szCs w:val="18"/>
        </w:rPr>
        <w:t>The grant decision will in any case place the following obligations on grant recipients:</w:t>
      </w:r>
    </w:p>
    <w:p w14:paraId="6E5CA4DA" w14:textId="77777777" w:rsidR="005933B9" w:rsidRPr="00C245E3" w:rsidRDefault="283477C2" w:rsidP="00C245E3">
      <w:pPr>
        <w:pStyle w:val="Lijstalinea"/>
        <w:numPr>
          <w:ilvl w:val="0"/>
          <w:numId w:val="5"/>
        </w:numPr>
        <w:spacing w:line="240" w:lineRule="atLeast"/>
        <w:rPr>
          <w:rFonts w:ascii="Verdana" w:eastAsia="Verdana" w:hAnsi="Verdana" w:cs="Verdana"/>
          <w:sz w:val="18"/>
          <w:szCs w:val="18"/>
        </w:rPr>
      </w:pPr>
      <w:r w:rsidRPr="00C245E3">
        <w:rPr>
          <w:rFonts w:ascii="Verdana" w:hAnsi="Verdana"/>
          <w:sz w:val="18"/>
          <w:szCs w:val="18"/>
        </w:rPr>
        <w:lastRenderedPageBreak/>
        <w:t xml:space="preserve">An obligation to notify the Ministry of potentially significant facts and circumstances in relation to the grant, such as the temporary or complete inability to implement the activities for which a grant is awarded or to comply with the OECD Guidelines for Multinational Enterprises. </w:t>
      </w:r>
    </w:p>
    <w:p w14:paraId="732D26BE" w14:textId="77777777" w:rsidR="0007373E" w:rsidRPr="00C245E3" w:rsidRDefault="0007373E" w:rsidP="00C245E3">
      <w:pPr>
        <w:pStyle w:val="Lijstalinea"/>
        <w:numPr>
          <w:ilvl w:val="0"/>
          <w:numId w:val="5"/>
        </w:numPr>
        <w:spacing w:line="240" w:lineRule="atLeast"/>
        <w:rPr>
          <w:rFonts w:ascii="Verdana" w:eastAsia="Verdana" w:hAnsi="Verdana" w:cs="Verdana"/>
          <w:sz w:val="18"/>
          <w:szCs w:val="18"/>
        </w:rPr>
      </w:pPr>
      <w:r w:rsidRPr="00C245E3">
        <w:rPr>
          <w:rFonts w:ascii="Verdana" w:hAnsi="Verdana"/>
          <w:sz w:val="18"/>
          <w:szCs w:val="18"/>
        </w:rPr>
        <w:t>Obligations to submit accountability reports, including interim and final narrative and financial reports in the context of the International Aid Transparency Initiative (IATI).</w:t>
      </w:r>
      <w:r w:rsidRPr="00C245E3">
        <w:rPr>
          <w:rStyle w:val="Voetnootmarkering"/>
          <w:rFonts w:ascii="Verdana" w:eastAsia="Verdana" w:hAnsi="Verdana" w:cs="Verdana"/>
          <w:sz w:val="18"/>
          <w:szCs w:val="18"/>
        </w:rPr>
        <w:footnoteReference w:id="21"/>
      </w:r>
    </w:p>
    <w:p w14:paraId="2634486D" w14:textId="77777777" w:rsidR="005933B9" w:rsidRPr="00C245E3" w:rsidRDefault="005933B9" w:rsidP="00C245E3">
      <w:pPr>
        <w:pStyle w:val="Lijstalinea"/>
        <w:numPr>
          <w:ilvl w:val="0"/>
          <w:numId w:val="5"/>
        </w:numPr>
        <w:spacing w:line="240" w:lineRule="atLeast"/>
        <w:rPr>
          <w:rFonts w:ascii="Verdana" w:eastAsia="Verdana" w:hAnsi="Verdana" w:cs="Verdana"/>
          <w:sz w:val="18"/>
          <w:szCs w:val="18"/>
        </w:rPr>
      </w:pPr>
      <w:r w:rsidRPr="00C245E3">
        <w:rPr>
          <w:rFonts w:ascii="Verdana" w:hAnsi="Verdana"/>
          <w:sz w:val="18"/>
          <w:szCs w:val="18"/>
        </w:rPr>
        <w:t>A ban on using child labour and/or forced labour.</w:t>
      </w:r>
      <w:r w:rsidRPr="00C245E3">
        <w:rPr>
          <w:rStyle w:val="Voetnootmarkering"/>
          <w:rFonts w:ascii="Verdana" w:eastAsia="Verdana" w:hAnsi="Verdana" w:cs="Verdana"/>
          <w:sz w:val="18"/>
          <w:szCs w:val="18"/>
        </w:rPr>
        <w:footnoteReference w:id="22"/>
      </w:r>
      <w:r w:rsidRPr="00C245E3">
        <w:rPr>
          <w:rFonts w:ascii="Verdana" w:hAnsi="Verdana"/>
          <w:sz w:val="18"/>
          <w:szCs w:val="18"/>
        </w:rPr>
        <w:t xml:space="preserve"> The grant recipient must immediately notify RVO of any facts or circumstances that would indicate the use, in their operations or those of any of the partners, of child and/or forced labour;</w:t>
      </w:r>
    </w:p>
    <w:p w14:paraId="3ECB4BC0" w14:textId="77777777" w:rsidR="00BF4816" w:rsidRPr="00C245E3" w:rsidRDefault="283477C2" w:rsidP="00C245E3">
      <w:pPr>
        <w:pStyle w:val="Lijstalinea"/>
        <w:numPr>
          <w:ilvl w:val="0"/>
          <w:numId w:val="5"/>
        </w:numPr>
        <w:spacing w:line="240" w:lineRule="atLeast"/>
        <w:rPr>
          <w:rFonts w:ascii="Verdana" w:eastAsia="Verdana" w:hAnsi="Verdana" w:cs="Verdana"/>
          <w:sz w:val="18"/>
          <w:szCs w:val="18"/>
        </w:rPr>
      </w:pPr>
      <w:r w:rsidRPr="00C245E3">
        <w:rPr>
          <w:rFonts w:ascii="Verdana" w:hAnsi="Verdana"/>
          <w:sz w:val="18"/>
          <w:szCs w:val="18"/>
        </w:rPr>
        <w:t>A mandatory external evaluation for projects exceeding €5 million.</w:t>
      </w:r>
    </w:p>
    <w:p w14:paraId="1825C989" w14:textId="77777777" w:rsidR="005933B9" w:rsidRPr="00C245E3" w:rsidRDefault="005933B9" w:rsidP="00C245E3">
      <w:pPr>
        <w:spacing w:line="240" w:lineRule="atLeast"/>
        <w:rPr>
          <w:rFonts w:ascii="Verdana" w:hAnsi="Verdana"/>
          <w:b/>
          <w:bCs/>
          <w:sz w:val="18"/>
          <w:szCs w:val="18"/>
        </w:rPr>
      </w:pPr>
    </w:p>
    <w:p w14:paraId="3B449128" w14:textId="593F0992" w:rsidR="00D70183" w:rsidRPr="00C245E3" w:rsidRDefault="00D70183" w:rsidP="00C245E3">
      <w:pPr>
        <w:spacing w:line="240" w:lineRule="atLeast"/>
        <w:rPr>
          <w:rFonts w:ascii="Verdana" w:hAnsi="Verdana"/>
          <w:b/>
          <w:bCs/>
          <w:sz w:val="18"/>
          <w:szCs w:val="18"/>
        </w:rPr>
      </w:pPr>
    </w:p>
    <w:p w14:paraId="50818392" w14:textId="77777777" w:rsidR="00C872D6" w:rsidRPr="00C245E3" w:rsidRDefault="283477C2" w:rsidP="00C245E3">
      <w:pPr>
        <w:spacing w:line="240" w:lineRule="atLeast"/>
        <w:rPr>
          <w:rFonts w:ascii="Verdana" w:hAnsi="Verdana"/>
          <w:b/>
          <w:bCs/>
          <w:sz w:val="18"/>
          <w:szCs w:val="18"/>
        </w:rPr>
      </w:pPr>
      <w:r w:rsidRPr="00C245E3">
        <w:rPr>
          <w:rFonts w:ascii="Verdana" w:hAnsi="Verdana"/>
          <w:b/>
          <w:sz w:val="18"/>
          <w:szCs w:val="18"/>
        </w:rPr>
        <w:t>11. Administrative burden</w:t>
      </w:r>
    </w:p>
    <w:p w14:paraId="31447A17" w14:textId="77777777" w:rsidR="0023506F" w:rsidRPr="00C245E3" w:rsidRDefault="283477C2" w:rsidP="00C245E3">
      <w:pPr>
        <w:spacing w:line="240" w:lineRule="atLeast"/>
        <w:rPr>
          <w:rFonts w:ascii="Verdana" w:hAnsi="Verdana"/>
          <w:sz w:val="18"/>
          <w:szCs w:val="18"/>
        </w:rPr>
      </w:pPr>
      <w:r w:rsidRPr="00C245E3">
        <w:rPr>
          <w:rFonts w:ascii="Verdana" w:hAnsi="Verdana"/>
          <w:sz w:val="18"/>
          <w:szCs w:val="18"/>
        </w:rPr>
        <w:t>A test based on a standard cost model has been carried out to calculate the administrative burden that the lead party will face, from drafting and submitting the application to the management phase, the determining of the definitive grant amount, and any objection and review procedures. The calculation shows that the administrative burden expressed as a percentage of the total available grant budget is 4.08%.</w:t>
      </w:r>
      <w:bookmarkEnd w:id="0"/>
    </w:p>
    <w:p w14:paraId="2B0C8997" w14:textId="77777777" w:rsidR="004144B8" w:rsidRPr="00C245E3" w:rsidRDefault="004144B8" w:rsidP="00C245E3">
      <w:pPr>
        <w:widowControl w:val="0"/>
        <w:autoSpaceDE w:val="0"/>
        <w:autoSpaceDN w:val="0"/>
        <w:adjustRightInd w:val="0"/>
        <w:spacing w:line="240" w:lineRule="atLeast"/>
        <w:rPr>
          <w:rFonts w:ascii="Verdana" w:hAnsi="Verdana" w:cs="Arial"/>
          <w:b/>
          <w:bCs/>
          <w:kern w:val="0"/>
          <w:sz w:val="18"/>
          <w:szCs w:val="18"/>
        </w:rPr>
      </w:pPr>
    </w:p>
    <w:p w14:paraId="1B073967" w14:textId="77777777" w:rsidR="004144B8" w:rsidRPr="00C245E3" w:rsidRDefault="004144B8" w:rsidP="00C245E3">
      <w:pPr>
        <w:spacing w:line="240" w:lineRule="atLeast"/>
        <w:rPr>
          <w:rFonts w:ascii="Verdana" w:hAnsi="Verdana" w:cs="Arial"/>
          <w:b/>
          <w:bCs/>
          <w:kern w:val="0"/>
          <w:sz w:val="18"/>
          <w:szCs w:val="18"/>
        </w:rPr>
      </w:pPr>
      <w:r w:rsidRPr="00C245E3">
        <w:rPr>
          <w:rFonts w:ascii="Verdana" w:hAnsi="Verdana"/>
          <w:sz w:val="18"/>
          <w:szCs w:val="18"/>
        </w:rPr>
        <w:br w:type="page"/>
      </w:r>
    </w:p>
    <w:p w14:paraId="7F31EC32" w14:textId="77777777" w:rsidR="0023506F" w:rsidRPr="00C245E3" w:rsidRDefault="0023506F" w:rsidP="00C245E3">
      <w:pPr>
        <w:widowControl w:val="0"/>
        <w:autoSpaceDE w:val="0"/>
        <w:autoSpaceDN w:val="0"/>
        <w:adjustRightInd w:val="0"/>
        <w:spacing w:line="240" w:lineRule="atLeast"/>
        <w:rPr>
          <w:rFonts w:ascii="Verdana" w:hAnsi="Verdana" w:cs="Arial"/>
          <w:b/>
          <w:bCs/>
          <w:sz w:val="18"/>
          <w:szCs w:val="18"/>
        </w:rPr>
      </w:pPr>
      <w:r w:rsidRPr="00C245E3">
        <w:rPr>
          <w:rFonts w:ascii="Verdana" w:hAnsi="Verdana"/>
          <w:b/>
          <w:sz w:val="18"/>
          <w:szCs w:val="18"/>
        </w:rPr>
        <w:lastRenderedPageBreak/>
        <w:t xml:space="preserve">Appendix 1 – Partner countries, sectors and value chains </w:t>
      </w:r>
    </w:p>
    <w:p w14:paraId="393F3AD1" w14:textId="77777777" w:rsidR="0023506F" w:rsidRPr="00C245E3" w:rsidRDefault="0023506F" w:rsidP="00C245E3">
      <w:pPr>
        <w:widowControl w:val="0"/>
        <w:autoSpaceDE w:val="0"/>
        <w:autoSpaceDN w:val="0"/>
        <w:adjustRightInd w:val="0"/>
        <w:spacing w:line="240" w:lineRule="atLeast"/>
        <w:rPr>
          <w:rFonts w:ascii="Verdana" w:hAnsi="Verdana" w:cs="Arial"/>
          <w:kern w:val="0"/>
          <w:sz w:val="18"/>
          <w:szCs w:val="18"/>
          <w:u w:val="single"/>
        </w:rPr>
      </w:pPr>
    </w:p>
    <w:p w14:paraId="49C0391E" w14:textId="6993E03D" w:rsidR="00FD57E5" w:rsidRPr="00C245E3" w:rsidRDefault="00FD57E5" w:rsidP="00C245E3">
      <w:pPr>
        <w:widowControl w:val="0"/>
        <w:autoSpaceDE w:val="0"/>
        <w:autoSpaceDN w:val="0"/>
        <w:adjustRightInd w:val="0"/>
        <w:spacing w:line="240" w:lineRule="atLeast"/>
        <w:rPr>
          <w:rFonts w:ascii="Verdana" w:hAnsi="Verdana" w:cs="Arial"/>
          <w:kern w:val="0"/>
          <w:sz w:val="18"/>
          <w:szCs w:val="18"/>
          <w:u w:val="single"/>
        </w:rPr>
      </w:pPr>
      <w:r w:rsidRPr="00C245E3">
        <w:rPr>
          <w:rFonts w:ascii="Verdana" w:hAnsi="Verdana"/>
          <w:sz w:val="18"/>
          <w:szCs w:val="18"/>
          <w:u w:val="single"/>
        </w:rPr>
        <w:t xml:space="preserve">Partner countries for applications under themes </w:t>
      </w:r>
      <w:r w:rsidR="00897944" w:rsidRPr="00C245E3">
        <w:rPr>
          <w:rFonts w:ascii="Verdana" w:hAnsi="Verdana"/>
          <w:sz w:val="18"/>
          <w:szCs w:val="18"/>
          <w:u w:val="single"/>
        </w:rPr>
        <w:t>a</w:t>
      </w:r>
      <w:r w:rsidRPr="00C245E3">
        <w:rPr>
          <w:rFonts w:ascii="Verdana" w:hAnsi="Verdana"/>
          <w:sz w:val="18"/>
          <w:szCs w:val="18"/>
          <w:u w:val="single"/>
        </w:rPr>
        <w:t xml:space="preserve">, </w:t>
      </w:r>
      <w:r w:rsidR="00897944" w:rsidRPr="00C245E3">
        <w:rPr>
          <w:rFonts w:ascii="Verdana" w:hAnsi="Verdana"/>
          <w:sz w:val="18"/>
          <w:szCs w:val="18"/>
          <w:u w:val="single"/>
        </w:rPr>
        <w:t>b</w:t>
      </w:r>
      <w:r w:rsidRPr="00C245E3">
        <w:rPr>
          <w:rFonts w:ascii="Verdana" w:hAnsi="Verdana"/>
          <w:sz w:val="18"/>
          <w:szCs w:val="18"/>
          <w:u w:val="single"/>
        </w:rPr>
        <w:t xml:space="preserve"> and </w:t>
      </w:r>
      <w:r w:rsidR="00897944" w:rsidRPr="00C245E3">
        <w:rPr>
          <w:rFonts w:ascii="Verdana" w:hAnsi="Verdana"/>
          <w:sz w:val="18"/>
          <w:szCs w:val="18"/>
          <w:u w:val="single"/>
        </w:rPr>
        <w:t>c</w:t>
      </w:r>
    </w:p>
    <w:p w14:paraId="6E5C21E4" w14:textId="77777777" w:rsidR="00FD57E5" w:rsidRPr="00C245E3" w:rsidRDefault="00FD57E5" w:rsidP="00C245E3">
      <w:pPr>
        <w:widowControl w:val="0"/>
        <w:autoSpaceDE w:val="0"/>
        <w:autoSpaceDN w:val="0"/>
        <w:adjustRightInd w:val="0"/>
        <w:spacing w:line="240" w:lineRule="atLeast"/>
        <w:rPr>
          <w:rFonts w:ascii="Verdana" w:hAnsi="Verdana" w:cs="Arial"/>
          <w:b/>
          <w:bCs/>
          <w:kern w:val="0"/>
          <w:sz w:val="18"/>
          <w:szCs w:val="18"/>
        </w:rPr>
      </w:pPr>
    </w:p>
    <w:p w14:paraId="5F8D1A8B"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Bangladesh</w:t>
      </w:r>
    </w:p>
    <w:p w14:paraId="434023EF"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Benin</w:t>
      </w:r>
    </w:p>
    <w:p w14:paraId="0EAF4EB6"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Colombia</w:t>
      </w:r>
    </w:p>
    <w:p w14:paraId="766B4925"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Côte d'Ivoire</w:t>
      </w:r>
    </w:p>
    <w:p w14:paraId="0CE21704"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Egypt</w:t>
      </w:r>
    </w:p>
    <w:p w14:paraId="5899B09F"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Ethiopia</w:t>
      </w:r>
    </w:p>
    <w:p w14:paraId="1B199822"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Ghana</w:t>
      </w:r>
    </w:p>
    <w:p w14:paraId="3FEE180F"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India</w:t>
      </w:r>
    </w:p>
    <w:p w14:paraId="2C1DCAC5"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Indonesia</w:t>
      </w:r>
    </w:p>
    <w:p w14:paraId="0DF8C0CF"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Iraq</w:t>
      </w:r>
    </w:p>
    <w:p w14:paraId="1B09857E"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Jordan</w:t>
      </w:r>
    </w:p>
    <w:p w14:paraId="5752E067"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Kenya</w:t>
      </w:r>
    </w:p>
    <w:p w14:paraId="2177C103"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Lebanon</w:t>
      </w:r>
    </w:p>
    <w:p w14:paraId="0A3451A8"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Morocco</w:t>
      </w:r>
    </w:p>
    <w:p w14:paraId="142D4B0A"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Mozambique</w:t>
      </w:r>
    </w:p>
    <w:p w14:paraId="28A46A2B"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Nigeria</w:t>
      </w:r>
    </w:p>
    <w:p w14:paraId="4689BB8D"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Senegal</w:t>
      </w:r>
    </w:p>
    <w:p w14:paraId="2CECF873"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South Africa</w:t>
      </w:r>
    </w:p>
    <w:p w14:paraId="1A0420A8"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Tunisia</w:t>
      </w:r>
    </w:p>
    <w:p w14:paraId="2B658E72"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Uganda</w:t>
      </w:r>
    </w:p>
    <w:p w14:paraId="721674D7" w14:textId="77777777" w:rsidR="0023506F" w:rsidRPr="00C245E3" w:rsidRDefault="0023506F" w:rsidP="00C245E3">
      <w:pPr>
        <w:pStyle w:val="Lijstalinea"/>
        <w:widowControl w:val="0"/>
        <w:numPr>
          <w:ilvl w:val="0"/>
          <w:numId w:val="21"/>
        </w:numPr>
        <w:autoSpaceDE w:val="0"/>
        <w:autoSpaceDN w:val="0"/>
        <w:adjustRightInd w:val="0"/>
        <w:spacing w:line="240" w:lineRule="atLeast"/>
        <w:ind w:left="567" w:hanging="567"/>
        <w:rPr>
          <w:rFonts w:ascii="Verdana" w:hAnsi="Verdana" w:cs="Arial"/>
          <w:sz w:val="18"/>
          <w:szCs w:val="18"/>
        </w:rPr>
      </w:pPr>
      <w:r w:rsidRPr="00C245E3">
        <w:rPr>
          <w:rFonts w:ascii="Verdana" w:hAnsi="Verdana"/>
          <w:sz w:val="18"/>
          <w:szCs w:val="18"/>
        </w:rPr>
        <w:t>Vietnam</w:t>
      </w:r>
    </w:p>
    <w:p w14:paraId="628D5C9B" w14:textId="77777777" w:rsidR="0023506F" w:rsidRPr="00C245E3" w:rsidRDefault="0023506F" w:rsidP="00C245E3">
      <w:pPr>
        <w:widowControl w:val="0"/>
        <w:autoSpaceDE w:val="0"/>
        <w:autoSpaceDN w:val="0"/>
        <w:adjustRightInd w:val="0"/>
        <w:spacing w:line="240" w:lineRule="atLeast"/>
        <w:rPr>
          <w:rFonts w:ascii="Verdana" w:hAnsi="Verdana"/>
          <w:sz w:val="18"/>
          <w:szCs w:val="18"/>
        </w:rPr>
      </w:pPr>
    </w:p>
    <w:p w14:paraId="642693ED" w14:textId="50A49C14" w:rsidR="00FD57E5" w:rsidRPr="00C245E3" w:rsidRDefault="00FD57E5" w:rsidP="00C245E3">
      <w:pPr>
        <w:widowControl w:val="0"/>
        <w:autoSpaceDE w:val="0"/>
        <w:autoSpaceDN w:val="0"/>
        <w:adjustRightInd w:val="0"/>
        <w:spacing w:line="240" w:lineRule="atLeast"/>
        <w:rPr>
          <w:rFonts w:ascii="Verdana" w:hAnsi="Verdana"/>
          <w:sz w:val="18"/>
          <w:szCs w:val="18"/>
          <w:u w:val="single"/>
        </w:rPr>
      </w:pPr>
      <w:r w:rsidRPr="00C245E3">
        <w:rPr>
          <w:rFonts w:ascii="Verdana" w:hAnsi="Verdana"/>
          <w:sz w:val="18"/>
          <w:szCs w:val="18"/>
          <w:u w:val="single"/>
        </w:rPr>
        <w:t>Partner countries for applications under theme d</w:t>
      </w:r>
    </w:p>
    <w:p w14:paraId="77A26BD7" w14:textId="2B4B510B" w:rsidR="00FD57E5" w:rsidRPr="00C245E3" w:rsidRDefault="00FD57E5" w:rsidP="00C245E3">
      <w:pPr>
        <w:widowControl w:val="0"/>
        <w:autoSpaceDE w:val="0"/>
        <w:autoSpaceDN w:val="0"/>
        <w:adjustRightInd w:val="0"/>
        <w:spacing w:line="240" w:lineRule="atLeast"/>
        <w:rPr>
          <w:rFonts w:ascii="Verdana" w:hAnsi="Verdana"/>
          <w:sz w:val="18"/>
          <w:szCs w:val="18"/>
        </w:rPr>
      </w:pPr>
      <w:r w:rsidRPr="00C245E3">
        <w:rPr>
          <w:rFonts w:ascii="Verdana" w:hAnsi="Verdana"/>
          <w:sz w:val="18"/>
          <w:szCs w:val="18"/>
        </w:rPr>
        <w:t xml:space="preserve">Applications for a grant under theme </w:t>
      </w:r>
      <w:r w:rsidR="00BA1626" w:rsidRPr="00C245E3">
        <w:rPr>
          <w:rFonts w:ascii="Verdana" w:hAnsi="Verdana"/>
          <w:sz w:val="18"/>
          <w:szCs w:val="18"/>
        </w:rPr>
        <w:t>d</w:t>
      </w:r>
      <w:r w:rsidRPr="00C245E3">
        <w:rPr>
          <w:rFonts w:ascii="Verdana" w:hAnsi="Verdana"/>
          <w:sz w:val="18"/>
          <w:szCs w:val="18"/>
        </w:rPr>
        <w:t xml:space="preserve"> must be aimed at market development in a specific sector/value chain in a particular partner country. The possible combinations are:</w:t>
      </w:r>
    </w:p>
    <w:tbl>
      <w:tblPr>
        <w:tblStyle w:val="Rastertabel1licht-Accent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321"/>
        <w:gridCol w:w="4321"/>
      </w:tblGrid>
      <w:tr w:rsidR="00FD57E5" w:rsidRPr="00C245E3" w14:paraId="44657F7C" w14:textId="77777777" w:rsidTr="00A546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Borders>
              <w:bottom w:val="single" w:sz="4" w:space="0" w:color="auto"/>
            </w:tcBorders>
            <w:vAlign w:val="center"/>
          </w:tcPr>
          <w:p w14:paraId="2D1021E0" w14:textId="77777777" w:rsidR="00FD57E5" w:rsidRPr="00C245E3" w:rsidRDefault="00FD57E5" w:rsidP="00C245E3">
            <w:pPr>
              <w:spacing w:after="160" w:line="240" w:lineRule="atLeast"/>
              <w:rPr>
                <w:rFonts w:ascii="Verdana" w:hAnsi="Verdana"/>
                <w:sz w:val="18"/>
                <w:szCs w:val="18"/>
              </w:rPr>
            </w:pPr>
            <w:r w:rsidRPr="00C245E3">
              <w:rPr>
                <w:rFonts w:ascii="Verdana" w:hAnsi="Verdana"/>
                <w:sz w:val="18"/>
                <w:szCs w:val="18"/>
              </w:rPr>
              <w:t>Partner country</w:t>
            </w:r>
          </w:p>
        </w:tc>
        <w:tc>
          <w:tcPr>
            <w:tcW w:w="4321" w:type="dxa"/>
            <w:tcBorders>
              <w:bottom w:val="single" w:sz="4" w:space="0" w:color="auto"/>
            </w:tcBorders>
            <w:vAlign w:val="center"/>
          </w:tcPr>
          <w:p w14:paraId="5EF05122" w14:textId="77777777" w:rsidR="00FD57E5" w:rsidRPr="00C245E3" w:rsidRDefault="00FD57E5" w:rsidP="00C245E3">
            <w:pPr>
              <w:spacing w:after="160" w:line="240" w:lineRule="atLeast"/>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DDE sector/value chain</w:t>
            </w:r>
          </w:p>
        </w:tc>
      </w:tr>
      <w:tr w:rsidR="00FD57E5" w:rsidRPr="00C245E3" w14:paraId="2995B60C"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04D894BD"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Bangladesh</w:t>
            </w:r>
          </w:p>
        </w:tc>
        <w:tc>
          <w:tcPr>
            <w:tcW w:w="4321" w:type="dxa"/>
            <w:vAlign w:val="center"/>
          </w:tcPr>
          <w:p w14:paraId="03CEBE3A"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Maritime</w:t>
            </w:r>
          </w:p>
          <w:p w14:paraId="2D6466F3"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w:t>
            </w:r>
          </w:p>
          <w:p w14:paraId="7FCE54BC"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Circular textiles</w:t>
            </w:r>
          </w:p>
        </w:tc>
      </w:tr>
      <w:tr w:rsidR="00FD57E5" w:rsidRPr="00C245E3" w14:paraId="35BE8A1A"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6F75A6AD"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Colombia</w:t>
            </w:r>
          </w:p>
        </w:tc>
        <w:tc>
          <w:tcPr>
            <w:tcW w:w="4321" w:type="dxa"/>
            <w:vAlign w:val="center"/>
          </w:tcPr>
          <w:p w14:paraId="0F881D28"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Coastal protection/water (innovative water technologies, sub-sectors, debris clean-up technologies, environmental monitoring, wastewater management and drinking water solutions)</w:t>
            </w:r>
          </w:p>
          <w:p w14:paraId="73D346FE"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Agriculture (avocados &amp; coffee)</w:t>
            </w:r>
          </w:p>
          <w:p w14:paraId="0B5778B6"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Energy</w:t>
            </w:r>
          </w:p>
        </w:tc>
      </w:tr>
      <w:tr w:rsidR="00FD57E5" w:rsidRPr="00C245E3" w14:paraId="55A932E4"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69C4D2D2"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Egypt</w:t>
            </w:r>
          </w:p>
        </w:tc>
        <w:tc>
          <w:tcPr>
            <w:tcW w:w="4321" w:type="dxa"/>
            <w:vAlign w:val="center"/>
          </w:tcPr>
          <w:p w14:paraId="3ED8B827"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Agriculture</w:t>
            </w:r>
          </w:p>
          <w:p w14:paraId="1B1D7F4B"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 (fruit, vegetables)</w:t>
            </w:r>
          </w:p>
        </w:tc>
      </w:tr>
      <w:tr w:rsidR="00FD57E5" w:rsidRPr="00C245E3" w14:paraId="074AD13D"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57123C14"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Ghana</w:t>
            </w:r>
          </w:p>
        </w:tc>
        <w:tc>
          <w:tcPr>
            <w:tcW w:w="4321" w:type="dxa"/>
            <w:vAlign w:val="center"/>
          </w:tcPr>
          <w:p w14:paraId="7197B0A4"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Cacao</w:t>
            </w:r>
          </w:p>
          <w:p w14:paraId="63607A90"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 xml:space="preserve">Horticulture </w:t>
            </w:r>
          </w:p>
        </w:tc>
      </w:tr>
      <w:tr w:rsidR="00FD57E5" w:rsidRPr="00C245E3" w14:paraId="24FD9F46"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5C49CC5A"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lastRenderedPageBreak/>
              <w:t>India</w:t>
            </w:r>
          </w:p>
        </w:tc>
        <w:tc>
          <w:tcPr>
            <w:tcW w:w="4321" w:type="dxa"/>
            <w:vAlign w:val="center"/>
          </w:tcPr>
          <w:p w14:paraId="16318592"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Agriculture</w:t>
            </w:r>
          </w:p>
          <w:p w14:paraId="04DDE299"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w:t>
            </w:r>
          </w:p>
          <w:p w14:paraId="4F4AAFAB"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Waste management</w:t>
            </w:r>
          </w:p>
          <w:p w14:paraId="7F4213C6"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CRM</w:t>
            </w:r>
          </w:p>
        </w:tc>
      </w:tr>
      <w:tr w:rsidR="00FD57E5" w:rsidRPr="00C245E3" w14:paraId="33E0B570"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30D3FC26"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Indonesia</w:t>
            </w:r>
          </w:p>
        </w:tc>
        <w:tc>
          <w:tcPr>
            <w:tcW w:w="4321" w:type="dxa"/>
            <w:vAlign w:val="center"/>
          </w:tcPr>
          <w:p w14:paraId="4F7D0EBA"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 (open field and covered cultivation, seed sector development)</w:t>
            </w:r>
            <w:r w:rsidRPr="00C245E3">
              <w:rPr>
                <w:rFonts w:ascii="Verdana" w:hAnsi="Verdana"/>
                <w:sz w:val="18"/>
                <w:szCs w:val="18"/>
              </w:rPr>
              <w:br/>
              <w:t>Palm oil</w:t>
            </w:r>
          </w:p>
          <w:p w14:paraId="0BAAD602"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CRM</w:t>
            </w:r>
          </w:p>
        </w:tc>
      </w:tr>
      <w:tr w:rsidR="00FD57E5" w:rsidRPr="00C245E3" w14:paraId="205414FB"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4E9D51B1"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Côte d’Ivoire</w:t>
            </w:r>
          </w:p>
        </w:tc>
        <w:tc>
          <w:tcPr>
            <w:tcW w:w="4321" w:type="dxa"/>
            <w:vAlign w:val="center"/>
          </w:tcPr>
          <w:p w14:paraId="0453E280"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Cacao</w:t>
            </w:r>
          </w:p>
          <w:p w14:paraId="2124EAE5"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 (vegetables, potatoes, cashews)</w:t>
            </w:r>
          </w:p>
        </w:tc>
      </w:tr>
      <w:tr w:rsidR="00FD57E5" w:rsidRPr="00C245E3" w14:paraId="787D3CC7"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54B5A717"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Morocco</w:t>
            </w:r>
          </w:p>
        </w:tc>
        <w:tc>
          <w:tcPr>
            <w:tcW w:w="4321" w:type="dxa"/>
            <w:vAlign w:val="center"/>
          </w:tcPr>
          <w:p w14:paraId="57D80940"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 x water</w:t>
            </w:r>
          </w:p>
          <w:p w14:paraId="15E7CBAC"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 xml:space="preserve">Agriculture </w:t>
            </w:r>
          </w:p>
        </w:tc>
      </w:tr>
      <w:tr w:rsidR="00FD57E5" w:rsidRPr="00C245E3" w14:paraId="4A8EFB1D"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7791A071"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Nigeria</w:t>
            </w:r>
          </w:p>
        </w:tc>
        <w:tc>
          <w:tcPr>
            <w:tcW w:w="4321" w:type="dxa"/>
            <w:vAlign w:val="center"/>
          </w:tcPr>
          <w:p w14:paraId="28C4FC86"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Solar energy</w:t>
            </w:r>
          </w:p>
          <w:p w14:paraId="281862B1"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 and potatoes</w:t>
            </w:r>
          </w:p>
        </w:tc>
      </w:tr>
      <w:tr w:rsidR="00FD57E5" w:rsidRPr="00C245E3" w14:paraId="39155E1E"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6A446711"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Kenya</w:t>
            </w:r>
          </w:p>
        </w:tc>
        <w:tc>
          <w:tcPr>
            <w:tcW w:w="4321" w:type="dxa"/>
            <w:vAlign w:val="center"/>
          </w:tcPr>
          <w:p w14:paraId="5D32E7B7"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C245E3">
              <w:rPr>
                <w:rFonts w:ascii="Verdana" w:hAnsi="Verdana"/>
                <w:sz w:val="18"/>
                <w:szCs w:val="18"/>
              </w:rPr>
              <w:t>Agrilogistics</w:t>
            </w:r>
            <w:proofErr w:type="spellEnd"/>
            <w:r w:rsidRPr="00C245E3">
              <w:rPr>
                <w:rFonts w:ascii="Verdana" w:hAnsi="Verdana"/>
                <w:sz w:val="18"/>
                <w:szCs w:val="18"/>
              </w:rPr>
              <w:t xml:space="preserve"> </w:t>
            </w:r>
          </w:p>
          <w:p w14:paraId="04F050F1"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LSH</w:t>
            </w:r>
          </w:p>
          <w:p w14:paraId="125DF1E3"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 (flowers, avocados, mangos)</w:t>
            </w:r>
          </w:p>
        </w:tc>
      </w:tr>
      <w:tr w:rsidR="00FD57E5" w:rsidRPr="00C245E3" w14:paraId="2B293A70"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03C877C6"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Senegal</w:t>
            </w:r>
          </w:p>
        </w:tc>
        <w:tc>
          <w:tcPr>
            <w:tcW w:w="4321" w:type="dxa"/>
            <w:vAlign w:val="center"/>
          </w:tcPr>
          <w:p w14:paraId="3CA7965C"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 (vegetables, potatoes, cashews)</w:t>
            </w:r>
          </w:p>
          <w:p w14:paraId="04402071"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 xml:space="preserve">Water </w:t>
            </w:r>
          </w:p>
        </w:tc>
      </w:tr>
      <w:tr w:rsidR="00FD57E5" w:rsidRPr="00C245E3" w14:paraId="13077618"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67B394AE"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Vietnam</w:t>
            </w:r>
          </w:p>
        </w:tc>
        <w:tc>
          <w:tcPr>
            <w:tcW w:w="4321" w:type="dxa"/>
            <w:vAlign w:val="center"/>
          </w:tcPr>
          <w:p w14:paraId="6F5BC7AD"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Agriculture (horticulture, aquaculture)</w:t>
            </w:r>
          </w:p>
          <w:p w14:paraId="2F082A57"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 xml:space="preserve">Water (incl. wastewater management, groundwater management, water technologies) </w:t>
            </w:r>
          </w:p>
          <w:p w14:paraId="674D140F"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Logistics and transport (incl. inland waterways)</w:t>
            </w:r>
          </w:p>
        </w:tc>
      </w:tr>
      <w:tr w:rsidR="00FD57E5" w:rsidRPr="00C245E3" w14:paraId="32342C8C" w14:textId="77777777" w:rsidTr="00A5465A">
        <w:tc>
          <w:tcPr>
            <w:cnfStyle w:val="001000000000" w:firstRow="0" w:lastRow="0" w:firstColumn="1" w:lastColumn="0" w:oddVBand="0" w:evenVBand="0" w:oddHBand="0" w:evenHBand="0" w:firstRowFirstColumn="0" w:firstRowLastColumn="0" w:lastRowFirstColumn="0" w:lastRowLastColumn="0"/>
            <w:tcW w:w="4321" w:type="dxa"/>
            <w:vAlign w:val="center"/>
          </w:tcPr>
          <w:p w14:paraId="204A26C0" w14:textId="77777777" w:rsidR="00FD57E5" w:rsidRPr="00C245E3" w:rsidRDefault="00FD57E5" w:rsidP="00C245E3">
            <w:pPr>
              <w:spacing w:after="160" w:line="240" w:lineRule="atLeast"/>
              <w:rPr>
                <w:rFonts w:ascii="Verdana" w:hAnsi="Verdana"/>
                <w:b w:val="0"/>
                <w:bCs w:val="0"/>
                <w:sz w:val="18"/>
                <w:szCs w:val="18"/>
              </w:rPr>
            </w:pPr>
            <w:r w:rsidRPr="00C245E3">
              <w:rPr>
                <w:rFonts w:ascii="Verdana" w:hAnsi="Verdana"/>
                <w:b w:val="0"/>
                <w:sz w:val="18"/>
                <w:szCs w:val="18"/>
              </w:rPr>
              <w:t>South Africa</w:t>
            </w:r>
          </w:p>
        </w:tc>
        <w:tc>
          <w:tcPr>
            <w:tcW w:w="4321" w:type="dxa"/>
            <w:vAlign w:val="center"/>
          </w:tcPr>
          <w:p w14:paraId="57BD57C9"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Horticulture</w:t>
            </w:r>
          </w:p>
          <w:p w14:paraId="15DD912A"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Green hydrogen</w:t>
            </w:r>
          </w:p>
          <w:p w14:paraId="7016B53F" w14:textId="77777777" w:rsidR="00FD57E5" w:rsidRPr="00C245E3" w:rsidRDefault="00FD57E5" w:rsidP="00C245E3">
            <w:pPr>
              <w:spacing w:after="160"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45E3">
              <w:rPr>
                <w:rFonts w:ascii="Verdana" w:hAnsi="Verdana"/>
                <w:sz w:val="18"/>
                <w:szCs w:val="18"/>
              </w:rPr>
              <w:t>CRM</w:t>
            </w:r>
          </w:p>
        </w:tc>
      </w:tr>
    </w:tbl>
    <w:p w14:paraId="169DB7AD" w14:textId="77777777" w:rsidR="00FD57E5" w:rsidRPr="00C245E3" w:rsidRDefault="00FD57E5" w:rsidP="00C245E3">
      <w:pPr>
        <w:spacing w:line="240" w:lineRule="atLeast"/>
        <w:rPr>
          <w:rFonts w:ascii="Verdana" w:hAnsi="Verdana"/>
          <w:b/>
          <w:bCs/>
          <w:sz w:val="18"/>
          <w:szCs w:val="18"/>
        </w:rPr>
      </w:pPr>
    </w:p>
    <w:p w14:paraId="3B9C1FE5" w14:textId="77777777" w:rsidR="00FD57E5" w:rsidRPr="00C245E3" w:rsidRDefault="00FD57E5" w:rsidP="00C245E3">
      <w:pPr>
        <w:widowControl w:val="0"/>
        <w:autoSpaceDE w:val="0"/>
        <w:autoSpaceDN w:val="0"/>
        <w:adjustRightInd w:val="0"/>
        <w:spacing w:line="240" w:lineRule="atLeast"/>
        <w:rPr>
          <w:rFonts w:ascii="Verdana" w:hAnsi="Verdana"/>
          <w:i/>
          <w:iCs/>
          <w:sz w:val="18"/>
          <w:szCs w:val="18"/>
        </w:rPr>
      </w:pPr>
      <w:r w:rsidRPr="00C245E3">
        <w:rPr>
          <w:rFonts w:ascii="Verdana" w:hAnsi="Verdana"/>
          <w:i/>
          <w:sz w:val="18"/>
          <w:szCs w:val="18"/>
        </w:rPr>
        <w:t>EU Global Gateway</w:t>
      </w:r>
    </w:p>
    <w:p w14:paraId="6F8068EF" w14:textId="77777777" w:rsidR="00FD57E5" w:rsidRPr="00C245E3" w:rsidRDefault="00FD57E5" w:rsidP="00C245E3">
      <w:pPr>
        <w:widowControl w:val="0"/>
        <w:autoSpaceDE w:val="0"/>
        <w:autoSpaceDN w:val="0"/>
        <w:adjustRightInd w:val="0"/>
        <w:spacing w:line="240" w:lineRule="atLeast"/>
        <w:rPr>
          <w:rFonts w:ascii="Verdana" w:eastAsia="Verdana" w:hAnsi="Verdana" w:cs="Verdana"/>
          <w:sz w:val="18"/>
          <w:szCs w:val="18"/>
        </w:rPr>
      </w:pPr>
      <w:r w:rsidRPr="00C245E3">
        <w:rPr>
          <w:rFonts w:ascii="Verdana" w:hAnsi="Verdana"/>
          <w:sz w:val="18"/>
          <w:szCs w:val="18"/>
        </w:rPr>
        <w:t>The grant programme is also open to partnerships that align with the Netherlands’ participation in the Global Gateway. This means that, in addition to the abovementioned countries, applications under any of the themes can also be submitted by regional partnerships contributing to the Dutch Global Gateway flagship projects, i.e. Northern Corridor (Kenya, Uganda, Rwanda and DR Congo) and Lobito Corridor (Angola, DR Congo and Zambia).</w:t>
      </w:r>
    </w:p>
    <w:p w14:paraId="2C468360" w14:textId="77777777" w:rsidR="00FD57E5" w:rsidRPr="00C245E3" w:rsidRDefault="00FD57E5" w:rsidP="00C245E3">
      <w:pPr>
        <w:spacing w:line="240" w:lineRule="atLeast"/>
        <w:rPr>
          <w:rFonts w:ascii="Verdana" w:hAnsi="Verdana"/>
          <w:b/>
          <w:bCs/>
          <w:sz w:val="18"/>
          <w:szCs w:val="18"/>
        </w:rPr>
      </w:pPr>
      <w:r w:rsidRPr="00C245E3">
        <w:rPr>
          <w:rFonts w:ascii="Verdana" w:hAnsi="Verdana"/>
          <w:sz w:val="18"/>
          <w:szCs w:val="18"/>
        </w:rPr>
        <w:br w:type="page"/>
      </w:r>
    </w:p>
    <w:p w14:paraId="282AB8BE" w14:textId="77777777" w:rsidR="00946BBD" w:rsidRPr="00C245E3" w:rsidRDefault="00946BBD" w:rsidP="00C245E3">
      <w:pPr>
        <w:widowControl w:val="0"/>
        <w:autoSpaceDE w:val="0"/>
        <w:autoSpaceDN w:val="0"/>
        <w:adjustRightInd w:val="0"/>
        <w:spacing w:line="240" w:lineRule="atLeast"/>
        <w:rPr>
          <w:rFonts w:ascii="Verdana" w:hAnsi="Verdana" w:cs="Arial"/>
          <w:b/>
          <w:bCs/>
          <w:kern w:val="0"/>
          <w:sz w:val="18"/>
          <w:szCs w:val="18"/>
        </w:rPr>
      </w:pPr>
      <w:r w:rsidRPr="00C245E3">
        <w:rPr>
          <w:rFonts w:ascii="Verdana" w:hAnsi="Verdana"/>
          <w:b/>
          <w:bCs/>
          <w:sz w:val="18"/>
          <w:szCs w:val="18"/>
        </w:rPr>
        <w:lastRenderedPageBreak/>
        <w:t>Appendix 2 – Dutch Diamonds Grant Programme Theory of Change</w:t>
      </w:r>
    </w:p>
    <w:p w14:paraId="7626D5AD" w14:textId="6D988DFC" w:rsidR="009501EB" w:rsidRPr="00F5670D" w:rsidRDefault="009501EB" w:rsidP="00C245E3">
      <w:pPr>
        <w:widowControl w:val="0"/>
        <w:autoSpaceDE w:val="0"/>
        <w:autoSpaceDN w:val="0"/>
        <w:adjustRightInd w:val="0"/>
        <w:spacing w:line="240" w:lineRule="atLeast"/>
        <w:rPr>
          <w:rFonts w:ascii="Verdana" w:hAnsi="Verdana"/>
          <w:b/>
          <w:sz w:val="18"/>
          <w:szCs w:val="18"/>
          <w:lang w:val="en-US"/>
        </w:rPr>
      </w:pPr>
    </w:p>
    <w:p w14:paraId="1B724B36" w14:textId="46AACADF" w:rsidR="009501EB" w:rsidRDefault="00A01021" w:rsidP="00C245E3">
      <w:pPr>
        <w:widowControl w:val="0"/>
        <w:autoSpaceDE w:val="0"/>
        <w:autoSpaceDN w:val="0"/>
        <w:adjustRightInd w:val="0"/>
        <w:spacing w:line="240" w:lineRule="atLeast"/>
        <w:rPr>
          <w:rFonts w:ascii="Verdana" w:hAnsi="Verdana"/>
          <w:b/>
          <w:sz w:val="18"/>
          <w:szCs w:val="18"/>
          <w:lang w:val="nl-NL"/>
        </w:rPr>
      </w:pPr>
      <w:r>
        <w:rPr>
          <w:noProof/>
        </w:rPr>
        <w:drawing>
          <wp:inline distT="0" distB="0" distL="0" distR="0" wp14:anchorId="1F653C86" wp14:editId="60F2681D">
            <wp:extent cx="5760720" cy="4610100"/>
            <wp:effectExtent l="0" t="0" r="0" b="0"/>
            <wp:docPr id="5611582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024"/>
                    <a:stretch>
                      <a:fillRect/>
                    </a:stretch>
                  </pic:blipFill>
                  <pic:spPr bwMode="auto">
                    <a:xfrm>
                      <a:off x="0" y="0"/>
                      <a:ext cx="5760720" cy="4610100"/>
                    </a:xfrm>
                    <a:prstGeom prst="rect">
                      <a:avLst/>
                    </a:prstGeom>
                    <a:noFill/>
                    <a:ln>
                      <a:noFill/>
                    </a:ln>
                  </pic:spPr>
                </pic:pic>
              </a:graphicData>
            </a:graphic>
          </wp:inline>
        </w:drawing>
      </w:r>
    </w:p>
    <w:p w14:paraId="6DB34BAB" w14:textId="77777777" w:rsidR="009501EB" w:rsidRDefault="009501EB" w:rsidP="00C245E3">
      <w:pPr>
        <w:widowControl w:val="0"/>
        <w:autoSpaceDE w:val="0"/>
        <w:autoSpaceDN w:val="0"/>
        <w:adjustRightInd w:val="0"/>
        <w:spacing w:line="240" w:lineRule="atLeast"/>
        <w:rPr>
          <w:rFonts w:ascii="Verdana" w:hAnsi="Verdana"/>
          <w:b/>
          <w:sz w:val="18"/>
          <w:szCs w:val="18"/>
          <w:lang w:val="nl-NL"/>
        </w:rPr>
      </w:pPr>
    </w:p>
    <w:p w14:paraId="27EF7185" w14:textId="77777777" w:rsidR="009501EB" w:rsidRDefault="009501EB" w:rsidP="00C245E3">
      <w:pPr>
        <w:widowControl w:val="0"/>
        <w:autoSpaceDE w:val="0"/>
        <w:autoSpaceDN w:val="0"/>
        <w:adjustRightInd w:val="0"/>
        <w:spacing w:line="240" w:lineRule="atLeast"/>
        <w:rPr>
          <w:rFonts w:ascii="Verdana" w:hAnsi="Verdana"/>
          <w:b/>
          <w:sz w:val="18"/>
          <w:szCs w:val="18"/>
          <w:lang w:val="nl-NL"/>
        </w:rPr>
      </w:pPr>
    </w:p>
    <w:p w14:paraId="0E10431B" w14:textId="126AD80F" w:rsidR="00DF2FC3" w:rsidRPr="00A01021" w:rsidRDefault="00BF4816" w:rsidP="00C245E3">
      <w:pPr>
        <w:widowControl w:val="0"/>
        <w:autoSpaceDE w:val="0"/>
        <w:autoSpaceDN w:val="0"/>
        <w:adjustRightInd w:val="0"/>
        <w:spacing w:line="240" w:lineRule="atLeast"/>
        <w:rPr>
          <w:rFonts w:ascii="Verdana" w:hAnsi="Verdana" w:cs="Arial"/>
          <w:b/>
          <w:bCs/>
          <w:sz w:val="18"/>
          <w:szCs w:val="18"/>
          <w:lang w:val="en-US"/>
        </w:rPr>
      </w:pPr>
      <w:r w:rsidRPr="00A01021">
        <w:rPr>
          <w:rFonts w:ascii="Verdana" w:hAnsi="Verdana"/>
          <w:b/>
          <w:sz w:val="18"/>
          <w:szCs w:val="18"/>
          <w:lang w:val="en-US"/>
        </w:rPr>
        <w:t>Appendix 3 – Indicators</w:t>
      </w:r>
    </w:p>
    <w:p w14:paraId="20EB2D84" w14:textId="77777777" w:rsidR="00BF4816" w:rsidRPr="00A01021" w:rsidRDefault="00BF4816" w:rsidP="00C245E3">
      <w:pPr>
        <w:widowControl w:val="0"/>
        <w:autoSpaceDE w:val="0"/>
        <w:autoSpaceDN w:val="0"/>
        <w:adjustRightInd w:val="0"/>
        <w:spacing w:line="240" w:lineRule="atLeast"/>
        <w:rPr>
          <w:rFonts w:ascii="Verdana" w:hAnsi="Verdana" w:cs="Arial"/>
          <w:b/>
          <w:bCs/>
          <w:kern w:val="0"/>
          <w:sz w:val="18"/>
          <w:szCs w:val="18"/>
          <w:lang w:val="en-US"/>
        </w:rPr>
      </w:pPr>
    </w:p>
    <w:p w14:paraId="793DD819" w14:textId="6D78D2BB" w:rsidR="00BF4816" w:rsidRPr="00C245E3" w:rsidRDefault="283477C2" w:rsidP="00C245E3">
      <w:pPr>
        <w:spacing w:line="240" w:lineRule="atLeast"/>
        <w:rPr>
          <w:rFonts w:ascii="Verdana" w:eastAsia="Verdana" w:hAnsi="Verdana" w:cs="Verdana"/>
          <w:sz w:val="18"/>
          <w:szCs w:val="18"/>
        </w:rPr>
      </w:pPr>
      <w:r w:rsidRPr="00C245E3">
        <w:rPr>
          <w:rFonts w:ascii="Verdana" w:hAnsi="Verdana"/>
          <w:sz w:val="18"/>
          <w:szCs w:val="18"/>
        </w:rPr>
        <w:t xml:space="preserve">It is recommended that a combination of quantitative and qualitative indicators is chosen. The list of indicators below must in any case be used </w:t>
      </w:r>
      <w:r w:rsidRPr="00C245E3">
        <w:rPr>
          <w:rFonts w:ascii="Verdana" w:hAnsi="Verdana"/>
          <w:sz w:val="18"/>
          <w:szCs w:val="18"/>
          <w:u w:val="single"/>
        </w:rPr>
        <w:t>as a minimum</w:t>
      </w:r>
      <w:r w:rsidRPr="00C245E3">
        <w:rPr>
          <w:rFonts w:ascii="Verdana" w:hAnsi="Verdana"/>
          <w:sz w:val="18"/>
          <w:szCs w:val="18"/>
        </w:rPr>
        <w:t xml:space="preserve">. Partnerships should only select the indicators that are thematically relevant for them. A more comprehensive list of indicators </w:t>
      </w:r>
      <w:r w:rsidR="00EA6E73">
        <w:rPr>
          <w:rFonts w:ascii="Verdana" w:hAnsi="Verdana"/>
          <w:sz w:val="18"/>
          <w:szCs w:val="18"/>
        </w:rPr>
        <w:t xml:space="preserve">should be </w:t>
      </w:r>
      <w:r w:rsidRPr="00C245E3">
        <w:rPr>
          <w:rFonts w:ascii="Verdana" w:hAnsi="Verdana"/>
          <w:sz w:val="18"/>
          <w:szCs w:val="18"/>
        </w:rPr>
        <w:t>included in an annex</w:t>
      </w:r>
      <w:r w:rsidR="00255B95" w:rsidRPr="00C245E3">
        <w:rPr>
          <w:rFonts w:ascii="Verdana" w:hAnsi="Verdana"/>
          <w:sz w:val="18"/>
          <w:szCs w:val="18"/>
        </w:rPr>
        <w:t>e</w:t>
      </w:r>
      <w:r w:rsidRPr="00C245E3">
        <w:rPr>
          <w:rFonts w:ascii="Verdana" w:hAnsi="Verdana"/>
          <w:sz w:val="18"/>
          <w:szCs w:val="18"/>
        </w:rPr>
        <w:t xml:space="preserve"> to the project plan. Rather than selecting a large number of different indicators for reporting purposes, it is more important to explain the link between the indicators and the intended results and how the information gathered can be used for making adjustments to implementation. The partnership can supplement the list of standard indicators below with indicators, including process indicators, that are relevant to them. </w:t>
      </w:r>
    </w:p>
    <w:p w14:paraId="54982B4B" w14:textId="77777777" w:rsidR="00C90704" w:rsidRPr="00C245E3" w:rsidRDefault="00C90704" w:rsidP="00C245E3">
      <w:pPr>
        <w:widowControl w:val="0"/>
        <w:autoSpaceDE w:val="0"/>
        <w:autoSpaceDN w:val="0"/>
        <w:adjustRightInd w:val="0"/>
        <w:spacing w:line="240" w:lineRule="atLeast"/>
        <w:rPr>
          <w:rFonts w:ascii="Verdana" w:hAnsi="Verdana" w:cs="Arial"/>
          <w:sz w:val="18"/>
          <w:szCs w:val="18"/>
        </w:rPr>
      </w:pPr>
    </w:p>
    <w:tbl>
      <w:tblPr>
        <w:tblW w:w="8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173"/>
        <w:gridCol w:w="1339"/>
        <w:gridCol w:w="1076"/>
        <w:gridCol w:w="28"/>
        <w:gridCol w:w="2667"/>
        <w:gridCol w:w="1069"/>
        <w:gridCol w:w="1571"/>
      </w:tblGrid>
      <w:tr w:rsidR="00C90704" w:rsidRPr="00C245E3" w14:paraId="37869897" w14:textId="77777777" w:rsidTr="79F73F97">
        <w:trPr>
          <w:trHeight w:val="315"/>
        </w:trPr>
        <w:tc>
          <w:tcPr>
            <w:tcW w:w="1131" w:type="dxa"/>
            <w:shd w:val="clear" w:color="auto" w:fill="4D93D9"/>
            <w:tcMar>
              <w:top w:w="15" w:type="dxa"/>
              <w:left w:w="15" w:type="dxa"/>
              <w:right w:w="15" w:type="dxa"/>
            </w:tcMar>
            <w:vAlign w:val="bottom"/>
          </w:tcPr>
          <w:p w14:paraId="6CC1D1F5"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area</w:t>
            </w:r>
          </w:p>
        </w:tc>
        <w:tc>
          <w:tcPr>
            <w:tcW w:w="1148" w:type="dxa"/>
            <w:shd w:val="clear" w:color="auto" w:fill="4D93D9"/>
            <w:tcMar>
              <w:top w:w="15" w:type="dxa"/>
              <w:left w:w="15" w:type="dxa"/>
              <w:right w:w="15" w:type="dxa"/>
            </w:tcMar>
            <w:vAlign w:val="bottom"/>
          </w:tcPr>
          <w:p w14:paraId="62A08B8E"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Sub-result area</w:t>
            </w:r>
          </w:p>
        </w:tc>
        <w:tc>
          <w:tcPr>
            <w:tcW w:w="960" w:type="dxa"/>
            <w:shd w:val="clear" w:color="auto" w:fill="4D93D9"/>
            <w:tcMar>
              <w:top w:w="15" w:type="dxa"/>
              <w:left w:w="15" w:type="dxa"/>
              <w:right w:w="15" w:type="dxa"/>
            </w:tcMar>
            <w:vAlign w:val="bottom"/>
          </w:tcPr>
          <w:p w14:paraId="4416A1A0"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Reporting level</w:t>
            </w:r>
          </w:p>
        </w:tc>
        <w:tc>
          <w:tcPr>
            <w:tcW w:w="2996" w:type="dxa"/>
            <w:gridSpan w:val="2"/>
            <w:shd w:val="clear" w:color="auto" w:fill="4D93D9"/>
            <w:tcMar>
              <w:top w:w="15" w:type="dxa"/>
              <w:left w:w="15" w:type="dxa"/>
              <w:right w:w="15" w:type="dxa"/>
            </w:tcMar>
            <w:vAlign w:val="bottom"/>
          </w:tcPr>
          <w:p w14:paraId="33434534"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DGIS indicator</w:t>
            </w:r>
          </w:p>
        </w:tc>
        <w:tc>
          <w:tcPr>
            <w:tcW w:w="1130" w:type="dxa"/>
            <w:shd w:val="clear" w:color="auto" w:fill="4D93D9"/>
            <w:tcMar>
              <w:top w:w="15" w:type="dxa"/>
              <w:left w:w="15" w:type="dxa"/>
              <w:right w:w="15" w:type="dxa"/>
            </w:tcMar>
            <w:vAlign w:val="bottom"/>
          </w:tcPr>
          <w:p w14:paraId="36C299B5"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type</w:t>
            </w:r>
          </w:p>
        </w:tc>
        <w:tc>
          <w:tcPr>
            <w:tcW w:w="1558" w:type="dxa"/>
            <w:shd w:val="clear" w:color="auto" w:fill="4D93D9"/>
            <w:tcMar>
              <w:top w:w="15" w:type="dxa"/>
              <w:left w:w="15" w:type="dxa"/>
              <w:right w:w="15" w:type="dxa"/>
            </w:tcMar>
            <w:vAlign w:val="bottom"/>
          </w:tcPr>
          <w:p w14:paraId="628F88F9"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Disaggregation</w:t>
            </w:r>
          </w:p>
        </w:tc>
      </w:tr>
      <w:tr w:rsidR="00C90704" w:rsidRPr="00C245E3" w14:paraId="62445F2E" w14:textId="77777777" w:rsidTr="79F73F97">
        <w:trPr>
          <w:trHeight w:val="570"/>
        </w:trPr>
        <w:tc>
          <w:tcPr>
            <w:tcW w:w="1131" w:type="dxa"/>
            <w:vMerge w:val="restart"/>
            <w:tcMar>
              <w:top w:w="15" w:type="dxa"/>
              <w:left w:w="15" w:type="dxa"/>
              <w:right w:w="15" w:type="dxa"/>
            </w:tcMar>
          </w:tcPr>
          <w:p w14:paraId="4198B46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SDG 6</w:t>
            </w:r>
          </w:p>
        </w:tc>
        <w:tc>
          <w:tcPr>
            <w:tcW w:w="1148" w:type="dxa"/>
            <w:vMerge w:val="restart"/>
            <w:tcMar>
              <w:top w:w="15" w:type="dxa"/>
              <w:left w:w="15" w:type="dxa"/>
              <w:right w:w="15" w:type="dxa"/>
            </w:tcMar>
          </w:tcPr>
          <w:p w14:paraId="1A4E455D"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 xml:space="preserve">SDG 6.1 </w:t>
            </w:r>
            <w:r w:rsidRPr="00C245E3">
              <w:rPr>
                <w:rFonts w:ascii="Verdana" w:hAnsi="Verdana"/>
                <w:color w:val="000000" w:themeColor="text1"/>
                <w:sz w:val="18"/>
                <w:szCs w:val="18"/>
              </w:rPr>
              <w:t>- Drinking water</w:t>
            </w:r>
          </w:p>
        </w:tc>
        <w:tc>
          <w:tcPr>
            <w:tcW w:w="960" w:type="dxa"/>
            <w:tcMar>
              <w:top w:w="15" w:type="dxa"/>
              <w:left w:w="15" w:type="dxa"/>
              <w:right w:w="15" w:type="dxa"/>
            </w:tcMar>
          </w:tcPr>
          <w:p w14:paraId="47C7C81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5654FDBD"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1a</w:t>
            </w:r>
            <w:r w:rsidRPr="00C245E3">
              <w:rPr>
                <w:rFonts w:ascii="Verdana" w:hAnsi="Verdana"/>
                <w:color w:val="000000" w:themeColor="text1"/>
                <w:sz w:val="18"/>
                <w:szCs w:val="18"/>
              </w:rPr>
              <w:t xml:space="preserve"> Number of people who gained access to basic </w:t>
            </w:r>
            <w:r w:rsidRPr="00C245E3">
              <w:rPr>
                <w:rFonts w:ascii="Verdana" w:hAnsi="Verdana"/>
                <w:color w:val="000000" w:themeColor="text1"/>
                <w:sz w:val="18"/>
                <w:szCs w:val="18"/>
              </w:rPr>
              <w:lastRenderedPageBreak/>
              <w:t>drinking water, as a result of Dutch support</w:t>
            </w:r>
          </w:p>
        </w:tc>
        <w:tc>
          <w:tcPr>
            <w:tcW w:w="1130" w:type="dxa"/>
            <w:tcMar>
              <w:top w:w="15" w:type="dxa"/>
              <w:left w:w="15" w:type="dxa"/>
              <w:right w:w="15" w:type="dxa"/>
            </w:tcMar>
          </w:tcPr>
          <w:p w14:paraId="1597298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lastRenderedPageBreak/>
              <w:t>Outcome</w:t>
            </w:r>
          </w:p>
        </w:tc>
        <w:tc>
          <w:tcPr>
            <w:tcW w:w="1558" w:type="dxa"/>
            <w:tcMar>
              <w:top w:w="15" w:type="dxa"/>
              <w:left w:w="15" w:type="dxa"/>
              <w:right w:w="15" w:type="dxa"/>
            </w:tcMar>
          </w:tcPr>
          <w:p w14:paraId="63201EA4"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4A3499A1" w14:textId="77777777" w:rsidTr="79F73F97">
        <w:trPr>
          <w:trHeight w:val="630"/>
        </w:trPr>
        <w:tc>
          <w:tcPr>
            <w:tcW w:w="1131" w:type="dxa"/>
            <w:vMerge/>
            <w:vAlign w:val="center"/>
          </w:tcPr>
          <w:p w14:paraId="74044D3C" w14:textId="77777777" w:rsidR="00C90704" w:rsidRPr="00C245E3" w:rsidRDefault="00C90704" w:rsidP="00C245E3">
            <w:pPr>
              <w:spacing w:line="240" w:lineRule="atLeast"/>
              <w:rPr>
                <w:rFonts w:ascii="Verdana" w:hAnsi="Verdana"/>
                <w:sz w:val="18"/>
                <w:szCs w:val="18"/>
              </w:rPr>
            </w:pPr>
          </w:p>
        </w:tc>
        <w:tc>
          <w:tcPr>
            <w:tcW w:w="1148" w:type="dxa"/>
            <w:vMerge/>
            <w:vAlign w:val="center"/>
          </w:tcPr>
          <w:p w14:paraId="6413FBB8" w14:textId="77777777" w:rsidR="00C90704" w:rsidRPr="00C245E3" w:rsidRDefault="00C90704" w:rsidP="00C245E3">
            <w:pPr>
              <w:spacing w:line="240" w:lineRule="atLeast"/>
              <w:rPr>
                <w:rFonts w:ascii="Verdana" w:hAnsi="Verdana"/>
                <w:sz w:val="18"/>
                <w:szCs w:val="18"/>
              </w:rPr>
            </w:pPr>
          </w:p>
        </w:tc>
        <w:tc>
          <w:tcPr>
            <w:tcW w:w="960" w:type="dxa"/>
            <w:tcMar>
              <w:top w:w="15" w:type="dxa"/>
              <w:left w:w="15" w:type="dxa"/>
              <w:right w:w="15" w:type="dxa"/>
            </w:tcMar>
          </w:tcPr>
          <w:p w14:paraId="6DACA4AC"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13364AB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1b</w:t>
            </w:r>
            <w:r w:rsidRPr="00C245E3">
              <w:rPr>
                <w:rFonts w:ascii="Verdana" w:hAnsi="Verdana"/>
                <w:color w:val="000000" w:themeColor="text1"/>
                <w:sz w:val="18"/>
                <w:szCs w:val="18"/>
              </w:rPr>
              <w:t xml:space="preserve"> Number of people who gained access to safely managed drinking water, as a result of Dutch support</w:t>
            </w:r>
          </w:p>
        </w:tc>
        <w:tc>
          <w:tcPr>
            <w:tcW w:w="1130" w:type="dxa"/>
            <w:tcMar>
              <w:top w:w="15" w:type="dxa"/>
              <w:left w:w="15" w:type="dxa"/>
              <w:right w:w="15" w:type="dxa"/>
            </w:tcMar>
          </w:tcPr>
          <w:p w14:paraId="24DD9F4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65355617"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288217AB" w14:textId="77777777" w:rsidTr="79F73F97">
        <w:trPr>
          <w:trHeight w:val="570"/>
        </w:trPr>
        <w:tc>
          <w:tcPr>
            <w:tcW w:w="1131" w:type="dxa"/>
            <w:vMerge/>
            <w:vAlign w:val="center"/>
          </w:tcPr>
          <w:p w14:paraId="5EF69731" w14:textId="77777777" w:rsidR="00C90704" w:rsidRPr="00C245E3" w:rsidRDefault="00C90704" w:rsidP="00C245E3">
            <w:pPr>
              <w:spacing w:line="240" w:lineRule="atLeast"/>
              <w:rPr>
                <w:rFonts w:ascii="Verdana" w:hAnsi="Verdana"/>
                <w:sz w:val="18"/>
                <w:szCs w:val="18"/>
              </w:rPr>
            </w:pPr>
          </w:p>
        </w:tc>
        <w:tc>
          <w:tcPr>
            <w:tcW w:w="1148" w:type="dxa"/>
            <w:vMerge w:val="restart"/>
            <w:tcMar>
              <w:top w:w="15" w:type="dxa"/>
              <w:left w:w="15" w:type="dxa"/>
              <w:right w:w="15" w:type="dxa"/>
            </w:tcMar>
          </w:tcPr>
          <w:p w14:paraId="35132D9C"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SDG 6.2</w:t>
            </w:r>
            <w:r w:rsidRPr="00C245E3">
              <w:rPr>
                <w:rFonts w:ascii="Verdana" w:hAnsi="Verdana"/>
                <w:color w:val="000000" w:themeColor="text1"/>
                <w:sz w:val="18"/>
                <w:szCs w:val="18"/>
              </w:rPr>
              <w:t xml:space="preserve"> - Sanitation and hygiene</w:t>
            </w:r>
          </w:p>
        </w:tc>
        <w:tc>
          <w:tcPr>
            <w:tcW w:w="960" w:type="dxa"/>
            <w:tcMar>
              <w:top w:w="15" w:type="dxa"/>
              <w:left w:w="15" w:type="dxa"/>
              <w:right w:w="15" w:type="dxa"/>
            </w:tcMar>
          </w:tcPr>
          <w:p w14:paraId="3BC98859"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3D808D8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4a</w:t>
            </w:r>
            <w:r w:rsidRPr="00C245E3">
              <w:rPr>
                <w:rFonts w:ascii="Verdana" w:hAnsi="Verdana"/>
                <w:color w:val="000000" w:themeColor="text1"/>
                <w:sz w:val="18"/>
                <w:szCs w:val="18"/>
              </w:rPr>
              <w:t xml:space="preserve"> Number of people who gained access to basic sanitation, as a result of Dutch support</w:t>
            </w:r>
          </w:p>
        </w:tc>
        <w:tc>
          <w:tcPr>
            <w:tcW w:w="1130" w:type="dxa"/>
            <w:tcMar>
              <w:top w:w="15" w:type="dxa"/>
              <w:left w:w="15" w:type="dxa"/>
              <w:right w:w="15" w:type="dxa"/>
            </w:tcMar>
          </w:tcPr>
          <w:p w14:paraId="07C27406"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49E9C6F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39EA924F" w14:textId="77777777" w:rsidTr="79F73F97">
        <w:trPr>
          <w:trHeight w:val="630"/>
        </w:trPr>
        <w:tc>
          <w:tcPr>
            <w:tcW w:w="1131" w:type="dxa"/>
            <w:vMerge/>
            <w:vAlign w:val="center"/>
          </w:tcPr>
          <w:p w14:paraId="21D2C839" w14:textId="77777777" w:rsidR="00C90704" w:rsidRPr="00C245E3" w:rsidRDefault="00C90704" w:rsidP="00C245E3">
            <w:pPr>
              <w:spacing w:line="240" w:lineRule="atLeast"/>
              <w:rPr>
                <w:rFonts w:ascii="Verdana" w:hAnsi="Verdana"/>
                <w:sz w:val="18"/>
                <w:szCs w:val="18"/>
              </w:rPr>
            </w:pPr>
          </w:p>
        </w:tc>
        <w:tc>
          <w:tcPr>
            <w:tcW w:w="1148" w:type="dxa"/>
            <w:vMerge/>
            <w:vAlign w:val="center"/>
          </w:tcPr>
          <w:p w14:paraId="2E580907" w14:textId="77777777" w:rsidR="00C90704" w:rsidRPr="00C245E3" w:rsidRDefault="00C90704" w:rsidP="00C245E3">
            <w:pPr>
              <w:spacing w:line="240" w:lineRule="atLeast"/>
              <w:rPr>
                <w:rFonts w:ascii="Verdana" w:hAnsi="Verdana"/>
                <w:sz w:val="18"/>
                <w:szCs w:val="18"/>
              </w:rPr>
            </w:pPr>
          </w:p>
        </w:tc>
        <w:tc>
          <w:tcPr>
            <w:tcW w:w="960" w:type="dxa"/>
            <w:tcMar>
              <w:top w:w="15" w:type="dxa"/>
              <w:left w:w="15" w:type="dxa"/>
              <w:right w:w="15" w:type="dxa"/>
            </w:tcMar>
          </w:tcPr>
          <w:p w14:paraId="025F0E9D"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13C051F0"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4B</w:t>
            </w:r>
            <w:r w:rsidRPr="00C245E3">
              <w:rPr>
                <w:rFonts w:ascii="Verdana" w:hAnsi="Verdana"/>
                <w:color w:val="000000" w:themeColor="text1"/>
                <w:sz w:val="18"/>
                <w:szCs w:val="18"/>
              </w:rPr>
              <w:t xml:space="preserve"> Number of people who gained access to safely managed sanitation, as a result of Dutch support</w:t>
            </w:r>
          </w:p>
        </w:tc>
        <w:tc>
          <w:tcPr>
            <w:tcW w:w="1130" w:type="dxa"/>
            <w:tcMar>
              <w:top w:w="15" w:type="dxa"/>
              <w:left w:w="15" w:type="dxa"/>
              <w:right w:w="15" w:type="dxa"/>
            </w:tcMar>
          </w:tcPr>
          <w:p w14:paraId="541420C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233B6DA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15F2B87E" w14:textId="77777777" w:rsidTr="79F73F97">
        <w:trPr>
          <w:trHeight w:val="1140"/>
        </w:trPr>
        <w:tc>
          <w:tcPr>
            <w:tcW w:w="1131" w:type="dxa"/>
            <w:vMerge/>
            <w:vAlign w:val="center"/>
          </w:tcPr>
          <w:p w14:paraId="76FBB717" w14:textId="77777777" w:rsidR="00C90704" w:rsidRPr="00C245E3" w:rsidRDefault="00C90704" w:rsidP="00C245E3">
            <w:pPr>
              <w:spacing w:line="240" w:lineRule="atLeast"/>
              <w:rPr>
                <w:rFonts w:ascii="Verdana" w:hAnsi="Verdana"/>
                <w:sz w:val="18"/>
                <w:szCs w:val="18"/>
              </w:rPr>
            </w:pPr>
          </w:p>
        </w:tc>
        <w:tc>
          <w:tcPr>
            <w:tcW w:w="1148" w:type="dxa"/>
            <w:vMerge w:val="restart"/>
            <w:tcMar>
              <w:top w:w="15" w:type="dxa"/>
              <w:left w:w="15" w:type="dxa"/>
              <w:right w:w="15" w:type="dxa"/>
            </w:tcMar>
          </w:tcPr>
          <w:p w14:paraId="31ABD7C1"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 xml:space="preserve">SDG 6.4-6.6 </w:t>
            </w:r>
            <w:r w:rsidRPr="00C245E3">
              <w:rPr>
                <w:rFonts w:ascii="Verdana" w:hAnsi="Verdana"/>
                <w:color w:val="000000" w:themeColor="text1"/>
                <w:sz w:val="18"/>
                <w:szCs w:val="18"/>
              </w:rPr>
              <w:t>- integrated water resources management, water efficiency in agriculture and water governance</w:t>
            </w:r>
          </w:p>
        </w:tc>
        <w:tc>
          <w:tcPr>
            <w:tcW w:w="960" w:type="dxa"/>
            <w:tcMar>
              <w:top w:w="15" w:type="dxa"/>
              <w:left w:w="15" w:type="dxa"/>
              <w:right w:w="15" w:type="dxa"/>
            </w:tcMar>
          </w:tcPr>
          <w:p w14:paraId="2880DE4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72DB46F7"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 xml:space="preserve">7 </w:t>
            </w:r>
            <w:r w:rsidRPr="00C245E3">
              <w:rPr>
                <w:rFonts w:ascii="Verdana" w:hAnsi="Verdana"/>
                <w:color w:val="000000" w:themeColor="text1"/>
                <w:sz w:val="18"/>
                <w:szCs w:val="18"/>
              </w:rPr>
              <w:t>Number of hectares that have benefited from physical changes to river basins and deltas resulting in good water quality and quantity, as a result of Dutch support</w:t>
            </w:r>
          </w:p>
        </w:tc>
        <w:tc>
          <w:tcPr>
            <w:tcW w:w="1130" w:type="dxa"/>
            <w:tcMar>
              <w:top w:w="15" w:type="dxa"/>
              <w:left w:w="15" w:type="dxa"/>
              <w:right w:w="15" w:type="dxa"/>
            </w:tcMar>
          </w:tcPr>
          <w:p w14:paraId="613E6C6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32D0F924"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079AA8FF" w14:textId="77777777" w:rsidTr="79F73F97">
        <w:trPr>
          <w:trHeight w:val="975"/>
        </w:trPr>
        <w:tc>
          <w:tcPr>
            <w:tcW w:w="1131" w:type="dxa"/>
            <w:vMerge/>
            <w:vAlign w:val="center"/>
          </w:tcPr>
          <w:p w14:paraId="1B9C6828" w14:textId="77777777" w:rsidR="00C90704" w:rsidRPr="00C245E3" w:rsidRDefault="00C90704" w:rsidP="00C245E3">
            <w:pPr>
              <w:spacing w:line="240" w:lineRule="atLeast"/>
              <w:rPr>
                <w:rFonts w:ascii="Verdana" w:hAnsi="Verdana"/>
                <w:sz w:val="18"/>
                <w:szCs w:val="18"/>
              </w:rPr>
            </w:pPr>
          </w:p>
        </w:tc>
        <w:tc>
          <w:tcPr>
            <w:tcW w:w="1148" w:type="dxa"/>
            <w:vMerge/>
            <w:vAlign w:val="center"/>
          </w:tcPr>
          <w:p w14:paraId="5A548AB7" w14:textId="77777777" w:rsidR="00C90704" w:rsidRPr="00C245E3" w:rsidRDefault="00C90704" w:rsidP="00C245E3">
            <w:pPr>
              <w:spacing w:line="240" w:lineRule="atLeast"/>
              <w:rPr>
                <w:rFonts w:ascii="Verdana" w:hAnsi="Verdana"/>
                <w:sz w:val="18"/>
                <w:szCs w:val="18"/>
              </w:rPr>
            </w:pPr>
          </w:p>
        </w:tc>
        <w:tc>
          <w:tcPr>
            <w:tcW w:w="960" w:type="dxa"/>
            <w:tcMar>
              <w:top w:w="15" w:type="dxa"/>
              <w:left w:w="15" w:type="dxa"/>
              <w:right w:w="15" w:type="dxa"/>
            </w:tcMar>
          </w:tcPr>
          <w:p w14:paraId="785A738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41101010"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8</w:t>
            </w:r>
            <w:r w:rsidRPr="00C245E3">
              <w:rPr>
                <w:rFonts w:ascii="Verdana" w:hAnsi="Verdana"/>
                <w:color w:val="000000" w:themeColor="text1"/>
                <w:sz w:val="18"/>
                <w:szCs w:val="18"/>
              </w:rPr>
              <w:t xml:space="preserve"> Number of hectares that have benefited from water governance interventions aimed at river basins and deltas resulting in good water quality and quantity, as a result of Dutch support</w:t>
            </w:r>
          </w:p>
        </w:tc>
        <w:tc>
          <w:tcPr>
            <w:tcW w:w="1130" w:type="dxa"/>
            <w:tcMar>
              <w:top w:w="15" w:type="dxa"/>
              <w:left w:w="15" w:type="dxa"/>
              <w:right w:w="15" w:type="dxa"/>
            </w:tcMar>
          </w:tcPr>
          <w:p w14:paraId="20450ADC"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13BE539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129C02CC" w14:textId="77777777" w:rsidTr="79F73F97">
        <w:trPr>
          <w:trHeight w:val="570"/>
        </w:trPr>
        <w:tc>
          <w:tcPr>
            <w:tcW w:w="1131" w:type="dxa"/>
            <w:vMerge/>
            <w:vAlign w:val="center"/>
          </w:tcPr>
          <w:p w14:paraId="5351F4E2" w14:textId="77777777" w:rsidR="00C90704" w:rsidRPr="00C245E3" w:rsidRDefault="00C90704" w:rsidP="00C245E3">
            <w:pPr>
              <w:spacing w:line="240" w:lineRule="atLeast"/>
              <w:rPr>
                <w:rFonts w:ascii="Verdana" w:hAnsi="Verdana"/>
                <w:sz w:val="18"/>
                <w:szCs w:val="18"/>
              </w:rPr>
            </w:pPr>
          </w:p>
        </w:tc>
        <w:tc>
          <w:tcPr>
            <w:tcW w:w="1148" w:type="dxa"/>
            <w:vMerge/>
            <w:vAlign w:val="center"/>
          </w:tcPr>
          <w:p w14:paraId="0A2C6F6D" w14:textId="77777777" w:rsidR="00C90704" w:rsidRPr="00C245E3" w:rsidRDefault="00C90704" w:rsidP="00C245E3">
            <w:pPr>
              <w:spacing w:line="240" w:lineRule="atLeast"/>
              <w:rPr>
                <w:rFonts w:ascii="Verdana" w:hAnsi="Verdana"/>
                <w:sz w:val="18"/>
                <w:szCs w:val="18"/>
              </w:rPr>
            </w:pPr>
          </w:p>
        </w:tc>
        <w:tc>
          <w:tcPr>
            <w:tcW w:w="960" w:type="dxa"/>
            <w:tcMar>
              <w:top w:w="15" w:type="dxa"/>
              <w:left w:w="15" w:type="dxa"/>
              <w:right w:w="15" w:type="dxa"/>
            </w:tcMar>
          </w:tcPr>
          <w:p w14:paraId="65BB5C99"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5FDC35A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9</w:t>
            </w:r>
            <w:r w:rsidRPr="00C245E3">
              <w:rPr>
                <w:rFonts w:ascii="Verdana" w:hAnsi="Verdana"/>
                <w:color w:val="000000" w:themeColor="text1"/>
                <w:sz w:val="18"/>
                <w:szCs w:val="18"/>
              </w:rPr>
              <w:t xml:space="preserve"> Number of hectares in water-related ecosystems that have benefited from physical changes aimed at protection and/or restoration, as a result of Dutch support</w:t>
            </w:r>
          </w:p>
        </w:tc>
        <w:tc>
          <w:tcPr>
            <w:tcW w:w="1130" w:type="dxa"/>
            <w:tcMar>
              <w:top w:w="15" w:type="dxa"/>
              <w:left w:w="15" w:type="dxa"/>
              <w:right w:w="15" w:type="dxa"/>
            </w:tcMar>
          </w:tcPr>
          <w:p w14:paraId="1E03C407"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1184116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06EB3431" w14:textId="77777777" w:rsidTr="79F73F97">
        <w:trPr>
          <w:trHeight w:val="870"/>
        </w:trPr>
        <w:tc>
          <w:tcPr>
            <w:tcW w:w="1131" w:type="dxa"/>
            <w:vMerge/>
            <w:vAlign w:val="center"/>
          </w:tcPr>
          <w:p w14:paraId="0623FAF2" w14:textId="77777777" w:rsidR="00C90704" w:rsidRPr="00C245E3" w:rsidRDefault="00C90704" w:rsidP="00C245E3">
            <w:pPr>
              <w:spacing w:line="240" w:lineRule="atLeast"/>
              <w:rPr>
                <w:rFonts w:ascii="Verdana" w:hAnsi="Verdana"/>
                <w:sz w:val="18"/>
                <w:szCs w:val="18"/>
              </w:rPr>
            </w:pPr>
          </w:p>
        </w:tc>
        <w:tc>
          <w:tcPr>
            <w:tcW w:w="1148" w:type="dxa"/>
            <w:vMerge/>
            <w:vAlign w:val="center"/>
          </w:tcPr>
          <w:p w14:paraId="2D5EB72F" w14:textId="77777777" w:rsidR="00C90704" w:rsidRPr="00C245E3" w:rsidRDefault="00C90704" w:rsidP="00C245E3">
            <w:pPr>
              <w:spacing w:line="240" w:lineRule="atLeast"/>
              <w:rPr>
                <w:rFonts w:ascii="Verdana" w:hAnsi="Verdana"/>
                <w:sz w:val="18"/>
                <w:szCs w:val="18"/>
              </w:rPr>
            </w:pPr>
          </w:p>
        </w:tc>
        <w:tc>
          <w:tcPr>
            <w:tcW w:w="960" w:type="dxa"/>
            <w:tcMar>
              <w:top w:w="15" w:type="dxa"/>
              <w:left w:w="15" w:type="dxa"/>
              <w:right w:w="15" w:type="dxa"/>
            </w:tcMar>
          </w:tcPr>
          <w:p w14:paraId="25A6526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78B4FCF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10a</w:t>
            </w:r>
            <w:r w:rsidRPr="00C245E3">
              <w:rPr>
                <w:rFonts w:ascii="Verdana" w:hAnsi="Verdana"/>
                <w:color w:val="000000" w:themeColor="text1"/>
                <w:sz w:val="18"/>
                <w:szCs w:val="18"/>
              </w:rPr>
              <w:t xml:space="preserve"> Number of people reached by physical changes to river basins and deltas resulting in good water quality and quantity, as a result of Dutch support</w:t>
            </w:r>
          </w:p>
        </w:tc>
        <w:tc>
          <w:tcPr>
            <w:tcW w:w="1130" w:type="dxa"/>
            <w:tcMar>
              <w:top w:w="15" w:type="dxa"/>
              <w:left w:w="15" w:type="dxa"/>
              <w:right w:w="15" w:type="dxa"/>
            </w:tcMar>
          </w:tcPr>
          <w:p w14:paraId="5259294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419186B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1CED26DD" w14:textId="77777777" w:rsidTr="79F73F97">
        <w:trPr>
          <w:trHeight w:val="870"/>
        </w:trPr>
        <w:tc>
          <w:tcPr>
            <w:tcW w:w="1131" w:type="dxa"/>
            <w:vMerge/>
            <w:vAlign w:val="center"/>
          </w:tcPr>
          <w:p w14:paraId="083DF75F" w14:textId="77777777" w:rsidR="00C90704" w:rsidRPr="00C245E3" w:rsidRDefault="00C90704" w:rsidP="00C245E3">
            <w:pPr>
              <w:spacing w:line="240" w:lineRule="atLeast"/>
              <w:rPr>
                <w:rFonts w:ascii="Verdana" w:hAnsi="Verdana"/>
                <w:sz w:val="18"/>
                <w:szCs w:val="18"/>
              </w:rPr>
            </w:pPr>
          </w:p>
        </w:tc>
        <w:tc>
          <w:tcPr>
            <w:tcW w:w="1148" w:type="dxa"/>
            <w:vMerge/>
            <w:vAlign w:val="center"/>
          </w:tcPr>
          <w:p w14:paraId="4C47BA7F" w14:textId="77777777" w:rsidR="00C90704" w:rsidRPr="00C245E3" w:rsidRDefault="00C90704" w:rsidP="00C245E3">
            <w:pPr>
              <w:spacing w:line="240" w:lineRule="atLeast"/>
              <w:rPr>
                <w:rFonts w:ascii="Verdana" w:hAnsi="Verdana"/>
                <w:sz w:val="18"/>
                <w:szCs w:val="18"/>
              </w:rPr>
            </w:pPr>
          </w:p>
        </w:tc>
        <w:tc>
          <w:tcPr>
            <w:tcW w:w="960" w:type="dxa"/>
            <w:tcMar>
              <w:top w:w="15" w:type="dxa"/>
              <w:left w:w="15" w:type="dxa"/>
              <w:right w:w="15" w:type="dxa"/>
            </w:tcMar>
          </w:tcPr>
          <w:p w14:paraId="76CA82C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520935E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10b</w:t>
            </w:r>
            <w:r w:rsidRPr="00C245E3">
              <w:rPr>
                <w:rFonts w:ascii="Verdana" w:hAnsi="Verdana"/>
                <w:color w:val="000000" w:themeColor="text1"/>
                <w:sz w:val="18"/>
                <w:szCs w:val="18"/>
              </w:rPr>
              <w:t xml:space="preserve"> Number of people reached by water governance interventions aimed at river basins and deltas resulting in good water quality and quantity, as a result of Dutch support</w:t>
            </w:r>
          </w:p>
        </w:tc>
        <w:tc>
          <w:tcPr>
            <w:tcW w:w="1130" w:type="dxa"/>
            <w:tcMar>
              <w:top w:w="15" w:type="dxa"/>
              <w:left w:w="15" w:type="dxa"/>
              <w:right w:w="15" w:type="dxa"/>
            </w:tcMar>
          </w:tcPr>
          <w:p w14:paraId="46651484"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2ED0D7A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23E489B6" w14:textId="77777777" w:rsidTr="79F73F97">
        <w:trPr>
          <w:trHeight w:val="315"/>
        </w:trPr>
        <w:tc>
          <w:tcPr>
            <w:tcW w:w="1131" w:type="dxa"/>
            <w:shd w:val="clear" w:color="auto" w:fill="8ED973"/>
            <w:tcMar>
              <w:top w:w="15" w:type="dxa"/>
              <w:left w:w="15" w:type="dxa"/>
              <w:right w:w="15" w:type="dxa"/>
            </w:tcMar>
            <w:vAlign w:val="bottom"/>
          </w:tcPr>
          <w:p w14:paraId="50F8AAED"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area</w:t>
            </w:r>
          </w:p>
        </w:tc>
        <w:tc>
          <w:tcPr>
            <w:tcW w:w="1148" w:type="dxa"/>
            <w:shd w:val="clear" w:color="auto" w:fill="8ED973"/>
            <w:tcMar>
              <w:top w:w="15" w:type="dxa"/>
              <w:left w:w="15" w:type="dxa"/>
              <w:right w:w="15" w:type="dxa"/>
            </w:tcMar>
            <w:vAlign w:val="bottom"/>
          </w:tcPr>
          <w:p w14:paraId="6EC21A3D"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Sub-result area</w:t>
            </w:r>
          </w:p>
        </w:tc>
        <w:tc>
          <w:tcPr>
            <w:tcW w:w="960" w:type="dxa"/>
            <w:shd w:val="clear" w:color="auto" w:fill="8ED973"/>
            <w:tcMar>
              <w:top w:w="15" w:type="dxa"/>
              <w:left w:w="15" w:type="dxa"/>
              <w:right w:w="15" w:type="dxa"/>
            </w:tcMar>
            <w:vAlign w:val="bottom"/>
          </w:tcPr>
          <w:p w14:paraId="277595B1"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Reporting level</w:t>
            </w:r>
          </w:p>
        </w:tc>
        <w:tc>
          <w:tcPr>
            <w:tcW w:w="2996" w:type="dxa"/>
            <w:gridSpan w:val="2"/>
            <w:shd w:val="clear" w:color="auto" w:fill="8ED973"/>
            <w:tcMar>
              <w:top w:w="15" w:type="dxa"/>
              <w:left w:w="15" w:type="dxa"/>
              <w:right w:w="15" w:type="dxa"/>
            </w:tcMar>
            <w:vAlign w:val="bottom"/>
          </w:tcPr>
          <w:p w14:paraId="64FC60C5"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DGIS indicator</w:t>
            </w:r>
          </w:p>
        </w:tc>
        <w:tc>
          <w:tcPr>
            <w:tcW w:w="1130" w:type="dxa"/>
            <w:shd w:val="clear" w:color="auto" w:fill="8ED973"/>
            <w:tcMar>
              <w:top w:w="15" w:type="dxa"/>
              <w:left w:w="15" w:type="dxa"/>
              <w:right w:w="15" w:type="dxa"/>
            </w:tcMar>
            <w:vAlign w:val="bottom"/>
          </w:tcPr>
          <w:p w14:paraId="41194B9E"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type</w:t>
            </w:r>
          </w:p>
        </w:tc>
        <w:tc>
          <w:tcPr>
            <w:tcW w:w="1558" w:type="dxa"/>
            <w:shd w:val="clear" w:color="auto" w:fill="8ED973"/>
            <w:tcMar>
              <w:top w:w="15" w:type="dxa"/>
              <w:left w:w="15" w:type="dxa"/>
              <w:right w:w="15" w:type="dxa"/>
            </w:tcMar>
            <w:vAlign w:val="bottom"/>
          </w:tcPr>
          <w:p w14:paraId="0276D561"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Disaggregation</w:t>
            </w:r>
          </w:p>
        </w:tc>
      </w:tr>
      <w:tr w:rsidR="00C90704" w:rsidRPr="00C245E3" w14:paraId="0C2B37F9" w14:textId="77777777" w:rsidTr="79F73F97">
        <w:trPr>
          <w:trHeight w:val="570"/>
        </w:trPr>
        <w:tc>
          <w:tcPr>
            <w:tcW w:w="1131" w:type="dxa"/>
            <w:vMerge w:val="restart"/>
            <w:tcMar>
              <w:top w:w="15" w:type="dxa"/>
              <w:left w:w="15" w:type="dxa"/>
              <w:right w:w="15" w:type="dxa"/>
            </w:tcMar>
            <w:vAlign w:val="center"/>
          </w:tcPr>
          <w:p w14:paraId="1183C9B0"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lastRenderedPageBreak/>
              <w:t>SDG 2</w:t>
            </w:r>
          </w:p>
        </w:tc>
        <w:tc>
          <w:tcPr>
            <w:tcW w:w="1148" w:type="dxa"/>
            <w:tcMar>
              <w:top w:w="15" w:type="dxa"/>
              <w:left w:w="15" w:type="dxa"/>
              <w:right w:w="15" w:type="dxa"/>
            </w:tcMar>
            <w:vAlign w:val="center"/>
          </w:tcPr>
          <w:p w14:paraId="07DD22C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Nutritional value</w:t>
            </w:r>
          </w:p>
        </w:tc>
        <w:tc>
          <w:tcPr>
            <w:tcW w:w="960" w:type="dxa"/>
            <w:tcMar>
              <w:top w:w="15" w:type="dxa"/>
              <w:left w:w="15" w:type="dxa"/>
              <w:right w:w="15" w:type="dxa"/>
            </w:tcMar>
          </w:tcPr>
          <w:p w14:paraId="498B1A5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787E0F0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 xml:space="preserve">A.1.1. </w:t>
            </w:r>
            <w:r w:rsidRPr="00C245E3">
              <w:rPr>
                <w:rFonts w:ascii="Verdana" w:hAnsi="Verdana"/>
                <w:color w:val="000000" w:themeColor="text1"/>
                <w:sz w:val="18"/>
                <w:szCs w:val="18"/>
              </w:rPr>
              <w:t>Number of people with a more varied, sufficiently nutritious diet</w:t>
            </w:r>
          </w:p>
        </w:tc>
        <w:tc>
          <w:tcPr>
            <w:tcW w:w="1130" w:type="dxa"/>
            <w:tcMar>
              <w:top w:w="15" w:type="dxa"/>
              <w:left w:w="15" w:type="dxa"/>
              <w:right w:w="15" w:type="dxa"/>
            </w:tcMar>
          </w:tcPr>
          <w:p w14:paraId="1712C1A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459BFC4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09FB5A34" w14:textId="77777777" w:rsidTr="79F73F97">
        <w:trPr>
          <w:trHeight w:val="570"/>
        </w:trPr>
        <w:tc>
          <w:tcPr>
            <w:tcW w:w="1131" w:type="dxa"/>
            <w:vMerge/>
            <w:vAlign w:val="center"/>
          </w:tcPr>
          <w:p w14:paraId="710EF3B1" w14:textId="77777777" w:rsidR="00C90704" w:rsidRPr="00C245E3" w:rsidRDefault="00C90704" w:rsidP="00C245E3">
            <w:pPr>
              <w:spacing w:line="240" w:lineRule="atLeast"/>
              <w:rPr>
                <w:rFonts w:ascii="Verdana" w:hAnsi="Verdana"/>
                <w:sz w:val="18"/>
                <w:szCs w:val="18"/>
              </w:rPr>
            </w:pPr>
          </w:p>
        </w:tc>
        <w:tc>
          <w:tcPr>
            <w:tcW w:w="1148" w:type="dxa"/>
            <w:vMerge w:val="restart"/>
            <w:tcMar>
              <w:top w:w="15" w:type="dxa"/>
              <w:left w:w="15" w:type="dxa"/>
              <w:right w:w="15" w:type="dxa"/>
            </w:tcMar>
            <w:vAlign w:val="center"/>
          </w:tcPr>
          <w:p w14:paraId="65A7BBE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Sustainable productivity</w:t>
            </w:r>
          </w:p>
        </w:tc>
        <w:tc>
          <w:tcPr>
            <w:tcW w:w="960" w:type="dxa"/>
            <w:shd w:val="clear" w:color="auto" w:fill="FFFFFF" w:themeFill="background1"/>
            <w:tcMar>
              <w:top w:w="15" w:type="dxa"/>
              <w:left w:w="15" w:type="dxa"/>
              <w:right w:w="15" w:type="dxa"/>
            </w:tcMar>
          </w:tcPr>
          <w:p w14:paraId="6EE01DED"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shd w:val="clear" w:color="auto" w:fill="FFFFFF" w:themeFill="background1"/>
            <w:tcMar>
              <w:top w:w="15" w:type="dxa"/>
              <w:left w:w="15" w:type="dxa"/>
              <w:right w:w="15" w:type="dxa"/>
            </w:tcMar>
          </w:tcPr>
          <w:p w14:paraId="26E8EFD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 xml:space="preserve">B.1.1. </w:t>
            </w:r>
            <w:r w:rsidRPr="00C245E3">
              <w:rPr>
                <w:rFonts w:ascii="Verdana" w:hAnsi="Verdana"/>
                <w:color w:val="000000" w:themeColor="text1"/>
                <w:sz w:val="18"/>
                <w:szCs w:val="18"/>
              </w:rPr>
              <w:t>Number of small-scale food producers who progressively make a living income</w:t>
            </w:r>
          </w:p>
        </w:tc>
        <w:tc>
          <w:tcPr>
            <w:tcW w:w="1130" w:type="dxa"/>
            <w:tcMar>
              <w:top w:w="15" w:type="dxa"/>
              <w:left w:w="15" w:type="dxa"/>
              <w:right w:w="15" w:type="dxa"/>
            </w:tcMar>
          </w:tcPr>
          <w:p w14:paraId="5146679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1502080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1475CBF5" w14:textId="77777777" w:rsidTr="79F73F97">
        <w:trPr>
          <w:trHeight w:val="870"/>
        </w:trPr>
        <w:tc>
          <w:tcPr>
            <w:tcW w:w="1131" w:type="dxa"/>
            <w:vMerge/>
            <w:vAlign w:val="center"/>
          </w:tcPr>
          <w:p w14:paraId="0AC025F4" w14:textId="77777777" w:rsidR="00C90704" w:rsidRPr="00C245E3" w:rsidRDefault="00C90704" w:rsidP="00C245E3">
            <w:pPr>
              <w:spacing w:line="240" w:lineRule="atLeast"/>
              <w:rPr>
                <w:rFonts w:ascii="Verdana" w:hAnsi="Verdana"/>
                <w:sz w:val="18"/>
                <w:szCs w:val="18"/>
              </w:rPr>
            </w:pPr>
          </w:p>
        </w:tc>
        <w:tc>
          <w:tcPr>
            <w:tcW w:w="1148" w:type="dxa"/>
            <w:vMerge/>
            <w:vAlign w:val="center"/>
          </w:tcPr>
          <w:p w14:paraId="087CC9CD" w14:textId="77777777" w:rsidR="00C90704" w:rsidRPr="00C245E3" w:rsidRDefault="00C90704" w:rsidP="00C245E3">
            <w:pPr>
              <w:spacing w:line="240" w:lineRule="atLeast"/>
              <w:rPr>
                <w:rFonts w:ascii="Verdana" w:hAnsi="Verdana"/>
                <w:sz w:val="18"/>
                <w:szCs w:val="18"/>
              </w:rPr>
            </w:pPr>
          </w:p>
        </w:tc>
        <w:tc>
          <w:tcPr>
            <w:tcW w:w="960" w:type="dxa"/>
            <w:tcMar>
              <w:top w:w="15" w:type="dxa"/>
              <w:left w:w="15" w:type="dxa"/>
              <w:right w:w="15" w:type="dxa"/>
            </w:tcMar>
          </w:tcPr>
          <w:p w14:paraId="36566DE1"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2CC21141"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B.1.2.</w:t>
            </w:r>
            <w:r w:rsidRPr="00C245E3">
              <w:rPr>
                <w:rFonts w:ascii="Verdana" w:hAnsi="Verdana"/>
                <w:color w:val="000000" w:themeColor="text1"/>
                <w:sz w:val="18"/>
                <w:szCs w:val="18"/>
              </w:rPr>
              <w:t xml:space="preserve"> Number of small-scale food producers who progressively reduce the yield gap </w:t>
            </w:r>
          </w:p>
        </w:tc>
        <w:tc>
          <w:tcPr>
            <w:tcW w:w="1130" w:type="dxa"/>
            <w:tcMar>
              <w:top w:w="15" w:type="dxa"/>
              <w:left w:w="15" w:type="dxa"/>
              <w:right w:w="15" w:type="dxa"/>
            </w:tcMar>
          </w:tcPr>
          <w:p w14:paraId="2C1CAD27"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632B700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58C5B976" w14:textId="77777777" w:rsidTr="79F73F97">
        <w:trPr>
          <w:trHeight w:val="570"/>
        </w:trPr>
        <w:tc>
          <w:tcPr>
            <w:tcW w:w="1131" w:type="dxa"/>
            <w:vMerge/>
            <w:vAlign w:val="center"/>
          </w:tcPr>
          <w:p w14:paraId="061E42CF" w14:textId="77777777" w:rsidR="00C90704" w:rsidRPr="00C245E3" w:rsidRDefault="00C90704" w:rsidP="00C245E3">
            <w:pPr>
              <w:spacing w:line="240" w:lineRule="atLeast"/>
              <w:rPr>
                <w:rFonts w:ascii="Verdana" w:hAnsi="Verdana"/>
                <w:sz w:val="18"/>
                <w:szCs w:val="18"/>
              </w:rPr>
            </w:pPr>
          </w:p>
        </w:tc>
        <w:tc>
          <w:tcPr>
            <w:tcW w:w="1148" w:type="dxa"/>
            <w:tcMar>
              <w:top w:w="15" w:type="dxa"/>
              <w:left w:w="15" w:type="dxa"/>
              <w:right w:w="15" w:type="dxa"/>
            </w:tcMar>
            <w:vAlign w:val="center"/>
          </w:tcPr>
          <w:p w14:paraId="51F5B9A4"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Climate-resilient food production systems</w:t>
            </w:r>
          </w:p>
        </w:tc>
        <w:tc>
          <w:tcPr>
            <w:tcW w:w="960" w:type="dxa"/>
            <w:shd w:val="clear" w:color="auto" w:fill="FFFFFF" w:themeFill="background1"/>
            <w:tcMar>
              <w:top w:w="15" w:type="dxa"/>
              <w:left w:w="15" w:type="dxa"/>
              <w:right w:w="15" w:type="dxa"/>
            </w:tcMar>
          </w:tcPr>
          <w:p w14:paraId="5ADFBC7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shd w:val="clear" w:color="auto" w:fill="FFFFFF" w:themeFill="background1"/>
            <w:tcMar>
              <w:top w:w="15" w:type="dxa"/>
              <w:left w:w="15" w:type="dxa"/>
              <w:right w:w="15" w:type="dxa"/>
            </w:tcMar>
          </w:tcPr>
          <w:p w14:paraId="544F0789"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 xml:space="preserve">C.1.1. </w:t>
            </w:r>
            <w:r w:rsidRPr="00C245E3">
              <w:rPr>
                <w:rFonts w:ascii="Verdana" w:hAnsi="Verdana"/>
                <w:color w:val="000000" w:themeColor="text1"/>
                <w:sz w:val="18"/>
                <w:szCs w:val="18"/>
              </w:rPr>
              <w:t>Number of hectares of farmland under at least 2 conservation practices</w:t>
            </w:r>
          </w:p>
        </w:tc>
        <w:tc>
          <w:tcPr>
            <w:tcW w:w="1130" w:type="dxa"/>
            <w:shd w:val="clear" w:color="auto" w:fill="FFFFFF" w:themeFill="background1"/>
            <w:tcMar>
              <w:top w:w="15" w:type="dxa"/>
              <w:left w:w="15" w:type="dxa"/>
              <w:right w:w="15" w:type="dxa"/>
            </w:tcMar>
          </w:tcPr>
          <w:p w14:paraId="76E103D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315D0641"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0E4C183A" w14:textId="77777777" w:rsidTr="79F73F97">
        <w:trPr>
          <w:trHeight w:val="1110"/>
        </w:trPr>
        <w:tc>
          <w:tcPr>
            <w:tcW w:w="1131" w:type="dxa"/>
            <w:vMerge/>
            <w:vAlign w:val="center"/>
          </w:tcPr>
          <w:p w14:paraId="3468D981" w14:textId="77777777" w:rsidR="00C90704" w:rsidRPr="00C245E3" w:rsidRDefault="00C90704" w:rsidP="00C245E3">
            <w:pPr>
              <w:spacing w:line="240" w:lineRule="atLeast"/>
              <w:rPr>
                <w:rFonts w:ascii="Verdana" w:hAnsi="Verdana"/>
                <w:sz w:val="18"/>
                <w:szCs w:val="18"/>
              </w:rPr>
            </w:pPr>
          </w:p>
        </w:tc>
        <w:tc>
          <w:tcPr>
            <w:tcW w:w="1148" w:type="dxa"/>
            <w:tcMar>
              <w:top w:w="15" w:type="dxa"/>
              <w:left w:w="15" w:type="dxa"/>
              <w:right w:w="15" w:type="dxa"/>
            </w:tcMar>
            <w:vAlign w:val="center"/>
          </w:tcPr>
          <w:p w14:paraId="356D0A7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Knowledge &amp; innovation systems</w:t>
            </w:r>
          </w:p>
        </w:tc>
        <w:tc>
          <w:tcPr>
            <w:tcW w:w="960" w:type="dxa"/>
            <w:tcMar>
              <w:top w:w="15" w:type="dxa"/>
              <w:left w:w="15" w:type="dxa"/>
              <w:right w:w="15" w:type="dxa"/>
            </w:tcMar>
          </w:tcPr>
          <w:p w14:paraId="3336966D"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tcMar>
              <w:top w:w="15" w:type="dxa"/>
              <w:left w:w="15" w:type="dxa"/>
              <w:right w:w="15" w:type="dxa"/>
            </w:tcMar>
          </w:tcPr>
          <w:p w14:paraId="5035935C"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D.1.</w:t>
            </w:r>
            <w:r w:rsidRPr="00C245E3">
              <w:rPr>
                <w:rFonts w:ascii="Verdana" w:hAnsi="Verdana"/>
                <w:color w:val="000000" w:themeColor="text1"/>
                <w:sz w:val="18"/>
                <w:szCs w:val="18"/>
              </w:rPr>
              <w:t xml:space="preserve"> Number of small-scale food producers applying new technologies/practices aimed at transforming food systems towards desirable outcomes</w:t>
            </w:r>
          </w:p>
        </w:tc>
        <w:tc>
          <w:tcPr>
            <w:tcW w:w="1130" w:type="dxa"/>
            <w:tcMar>
              <w:top w:w="15" w:type="dxa"/>
              <w:left w:w="15" w:type="dxa"/>
              <w:right w:w="15" w:type="dxa"/>
            </w:tcMar>
          </w:tcPr>
          <w:p w14:paraId="3263205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tcMar>
              <w:top w:w="15" w:type="dxa"/>
              <w:left w:w="15" w:type="dxa"/>
              <w:right w:w="15" w:type="dxa"/>
            </w:tcMar>
          </w:tcPr>
          <w:p w14:paraId="1FDD77DD"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 xml:space="preserve">Gender </w:t>
            </w:r>
          </w:p>
        </w:tc>
      </w:tr>
      <w:tr w:rsidR="00C90704" w:rsidRPr="00C245E3" w14:paraId="7A480FD6" w14:textId="77777777" w:rsidTr="79F73F97">
        <w:trPr>
          <w:trHeight w:val="870"/>
        </w:trPr>
        <w:tc>
          <w:tcPr>
            <w:tcW w:w="1131" w:type="dxa"/>
            <w:vMerge/>
            <w:vAlign w:val="center"/>
          </w:tcPr>
          <w:p w14:paraId="184A32BA" w14:textId="77777777" w:rsidR="00C90704" w:rsidRPr="00C245E3" w:rsidRDefault="00C90704" w:rsidP="00C245E3">
            <w:pPr>
              <w:spacing w:line="240" w:lineRule="atLeast"/>
              <w:rPr>
                <w:rFonts w:ascii="Verdana" w:hAnsi="Verdana"/>
                <w:sz w:val="18"/>
                <w:szCs w:val="18"/>
              </w:rPr>
            </w:pPr>
          </w:p>
        </w:tc>
        <w:tc>
          <w:tcPr>
            <w:tcW w:w="1148" w:type="dxa"/>
            <w:shd w:val="clear" w:color="auto" w:fill="FFFFFF" w:themeFill="background1"/>
            <w:tcMar>
              <w:top w:w="15" w:type="dxa"/>
              <w:left w:w="15" w:type="dxa"/>
              <w:right w:w="15" w:type="dxa"/>
            </w:tcMar>
            <w:vAlign w:val="bottom"/>
          </w:tcPr>
          <w:p w14:paraId="7188D240"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Policy environment</w:t>
            </w:r>
          </w:p>
        </w:tc>
        <w:tc>
          <w:tcPr>
            <w:tcW w:w="960" w:type="dxa"/>
            <w:tcMar>
              <w:top w:w="15" w:type="dxa"/>
              <w:left w:w="15" w:type="dxa"/>
              <w:right w:w="15" w:type="dxa"/>
            </w:tcMar>
          </w:tcPr>
          <w:p w14:paraId="28F6C26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shd w:val="clear" w:color="auto" w:fill="FFFFFF" w:themeFill="background1"/>
            <w:tcMar>
              <w:top w:w="15" w:type="dxa"/>
              <w:left w:w="15" w:type="dxa"/>
              <w:right w:w="15" w:type="dxa"/>
            </w:tcMar>
          </w:tcPr>
          <w:p w14:paraId="1D8DE66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E.1.</w:t>
            </w:r>
            <w:r w:rsidRPr="00C245E3">
              <w:rPr>
                <w:rFonts w:ascii="Verdana" w:hAnsi="Verdana"/>
                <w:color w:val="000000" w:themeColor="text1"/>
                <w:sz w:val="18"/>
                <w:szCs w:val="18"/>
              </w:rPr>
              <w:t xml:space="preserve"> Number of reforms / improvements in major (inter)national FNS policies / laws / regulations</w:t>
            </w:r>
          </w:p>
        </w:tc>
        <w:tc>
          <w:tcPr>
            <w:tcW w:w="1130" w:type="dxa"/>
            <w:shd w:val="clear" w:color="auto" w:fill="FFFFFF" w:themeFill="background1"/>
            <w:tcMar>
              <w:top w:w="15" w:type="dxa"/>
              <w:left w:w="15" w:type="dxa"/>
              <w:right w:w="15" w:type="dxa"/>
            </w:tcMar>
          </w:tcPr>
          <w:p w14:paraId="67CDD616"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Outcomes</w:t>
            </w:r>
          </w:p>
        </w:tc>
        <w:tc>
          <w:tcPr>
            <w:tcW w:w="1558" w:type="dxa"/>
            <w:shd w:val="clear" w:color="auto" w:fill="FFFFFF" w:themeFill="background1"/>
            <w:tcMar>
              <w:top w:w="15" w:type="dxa"/>
              <w:left w:w="15" w:type="dxa"/>
              <w:right w:w="15" w:type="dxa"/>
            </w:tcMar>
          </w:tcPr>
          <w:p w14:paraId="5E9AF8C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0BBE5FC2" w14:textId="77777777" w:rsidTr="79F73F97">
        <w:trPr>
          <w:trHeight w:val="300"/>
        </w:trPr>
        <w:tc>
          <w:tcPr>
            <w:tcW w:w="1131" w:type="dxa"/>
            <w:shd w:val="clear" w:color="auto" w:fill="FAEEAC"/>
            <w:tcMar>
              <w:top w:w="15" w:type="dxa"/>
              <w:left w:w="15" w:type="dxa"/>
              <w:right w:w="15" w:type="dxa"/>
            </w:tcMar>
            <w:vAlign w:val="center"/>
          </w:tcPr>
          <w:p w14:paraId="39948180"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area</w:t>
            </w:r>
          </w:p>
        </w:tc>
        <w:tc>
          <w:tcPr>
            <w:tcW w:w="1148" w:type="dxa"/>
            <w:shd w:val="clear" w:color="auto" w:fill="FAEEAC"/>
            <w:tcMar>
              <w:top w:w="15" w:type="dxa"/>
              <w:left w:w="15" w:type="dxa"/>
              <w:right w:w="15" w:type="dxa"/>
            </w:tcMar>
            <w:vAlign w:val="center"/>
          </w:tcPr>
          <w:p w14:paraId="1138CF9D"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Sub-result area</w:t>
            </w:r>
          </w:p>
        </w:tc>
        <w:tc>
          <w:tcPr>
            <w:tcW w:w="960" w:type="dxa"/>
            <w:shd w:val="clear" w:color="auto" w:fill="FAEEAC"/>
            <w:tcMar>
              <w:top w:w="15" w:type="dxa"/>
              <w:left w:w="15" w:type="dxa"/>
              <w:right w:w="15" w:type="dxa"/>
            </w:tcMar>
          </w:tcPr>
          <w:p w14:paraId="4B8171C8"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Level</w:t>
            </w:r>
          </w:p>
        </w:tc>
        <w:tc>
          <w:tcPr>
            <w:tcW w:w="2996" w:type="dxa"/>
            <w:gridSpan w:val="2"/>
            <w:shd w:val="clear" w:color="auto" w:fill="FAEEAC"/>
            <w:tcMar>
              <w:top w:w="15" w:type="dxa"/>
              <w:left w:w="15" w:type="dxa"/>
              <w:right w:w="15" w:type="dxa"/>
            </w:tcMar>
          </w:tcPr>
          <w:p w14:paraId="3FF6E4E4"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DGIS indicator</w:t>
            </w:r>
          </w:p>
        </w:tc>
        <w:tc>
          <w:tcPr>
            <w:tcW w:w="1130" w:type="dxa"/>
            <w:shd w:val="clear" w:color="auto" w:fill="FAEEAC"/>
            <w:tcMar>
              <w:top w:w="15" w:type="dxa"/>
              <w:left w:w="15" w:type="dxa"/>
              <w:right w:w="15" w:type="dxa"/>
            </w:tcMar>
          </w:tcPr>
          <w:p w14:paraId="7DB7D37E"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type</w:t>
            </w:r>
          </w:p>
        </w:tc>
        <w:tc>
          <w:tcPr>
            <w:tcW w:w="1558" w:type="dxa"/>
            <w:shd w:val="clear" w:color="auto" w:fill="FAEEAC"/>
            <w:tcMar>
              <w:top w:w="15" w:type="dxa"/>
              <w:left w:w="15" w:type="dxa"/>
              <w:right w:w="15" w:type="dxa"/>
            </w:tcMar>
          </w:tcPr>
          <w:p w14:paraId="103992B8"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Disaggregation</w:t>
            </w:r>
          </w:p>
        </w:tc>
      </w:tr>
      <w:tr w:rsidR="00C90704" w:rsidRPr="00C245E3" w14:paraId="60822AD8" w14:textId="77777777" w:rsidTr="79F73F97">
        <w:trPr>
          <w:trHeight w:val="870"/>
        </w:trPr>
        <w:tc>
          <w:tcPr>
            <w:tcW w:w="1131" w:type="dxa"/>
            <w:vMerge w:val="restart"/>
            <w:tcMar>
              <w:top w:w="15" w:type="dxa"/>
              <w:left w:w="15" w:type="dxa"/>
              <w:right w:w="15" w:type="dxa"/>
            </w:tcMar>
            <w:vAlign w:val="center"/>
          </w:tcPr>
          <w:p w14:paraId="216C50D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SDG 8</w:t>
            </w:r>
          </w:p>
        </w:tc>
        <w:tc>
          <w:tcPr>
            <w:tcW w:w="1148" w:type="dxa"/>
            <w:shd w:val="clear" w:color="auto" w:fill="FFFFFF" w:themeFill="background1"/>
            <w:tcMar>
              <w:top w:w="15" w:type="dxa"/>
              <w:left w:w="15" w:type="dxa"/>
              <w:right w:w="15" w:type="dxa"/>
            </w:tcMar>
            <w:vAlign w:val="center"/>
          </w:tcPr>
          <w:p w14:paraId="53655CB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c>
          <w:tcPr>
            <w:tcW w:w="960" w:type="dxa"/>
            <w:tcMar>
              <w:top w:w="15" w:type="dxa"/>
              <w:left w:w="15" w:type="dxa"/>
              <w:right w:w="15" w:type="dxa"/>
            </w:tcMar>
          </w:tcPr>
          <w:p w14:paraId="72A366F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Programme</w:t>
            </w:r>
          </w:p>
        </w:tc>
        <w:tc>
          <w:tcPr>
            <w:tcW w:w="2996" w:type="dxa"/>
            <w:gridSpan w:val="2"/>
            <w:shd w:val="clear" w:color="auto" w:fill="FFFFFF" w:themeFill="background1"/>
            <w:tcMar>
              <w:top w:w="15" w:type="dxa"/>
              <w:left w:w="15" w:type="dxa"/>
              <w:right w:w="15" w:type="dxa"/>
            </w:tcMar>
          </w:tcPr>
          <w:p w14:paraId="01B22DA9"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 xml:space="preserve">Number of companies with a supported plan to invest, trade or provide services </w:t>
            </w:r>
          </w:p>
        </w:tc>
        <w:tc>
          <w:tcPr>
            <w:tcW w:w="1130" w:type="dxa"/>
            <w:shd w:val="clear" w:color="auto" w:fill="FFFFFF" w:themeFill="background1"/>
            <w:tcMar>
              <w:top w:w="15" w:type="dxa"/>
              <w:left w:w="15" w:type="dxa"/>
              <w:right w:w="15" w:type="dxa"/>
            </w:tcMar>
          </w:tcPr>
          <w:p w14:paraId="2B8E5FB9"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Output/</w:t>
            </w:r>
          </w:p>
          <w:p w14:paraId="0FFAFFF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Process</w:t>
            </w:r>
          </w:p>
        </w:tc>
        <w:tc>
          <w:tcPr>
            <w:tcW w:w="1558" w:type="dxa"/>
            <w:shd w:val="clear" w:color="auto" w:fill="FFFFFF" w:themeFill="background1"/>
            <w:tcMar>
              <w:top w:w="15" w:type="dxa"/>
              <w:left w:w="15" w:type="dxa"/>
              <w:right w:w="15" w:type="dxa"/>
            </w:tcMar>
          </w:tcPr>
          <w:p w14:paraId="2B39B930"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Dutch / Local / Other</w:t>
            </w:r>
          </w:p>
        </w:tc>
      </w:tr>
      <w:tr w:rsidR="00C90704" w:rsidRPr="00C245E3" w14:paraId="0F1E792D" w14:textId="77777777" w:rsidTr="79F73F97">
        <w:trPr>
          <w:trHeight w:val="870"/>
        </w:trPr>
        <w:tc>
          <w:tcPr>
            <w:tcW w:w="1131" w:type="dxa"/>
            <w:vMerge/>
            <w:vAlign w:val="center"/>
          </w:tcPr>
          <w:p w14:paraId="7CB29A73" w14:textId="77777777" w:rsidR="00C90704" w:rsidRPr="00C245E3" w:rsidRDefault="00C90704" w:rsidP="00C245E3">
            <w:pPr>
              <w:spacing w:line="240" w:lineRule="atLeast"/>
              <w:rPr>
                <w:rFonts w:ascii="Verdana" w:hAnsi="Verdana"/>
                <w:sz w:val="18"/>
                <w:szCs w:val="18"/>
              </w:rPr>
            </w:pPr>
          </w:p>
        </w:tc>
        <w:tc>
          <w:tcPr>
            <w:tcW w:w="1148" w:type="dxa"/>
            <w:shd w:val="clear" w:color="auto" w:fill="FFFFFF" w:themeFill="background1"/>
            <w:tcMar>
              <w:top w:w="15" w:type="dxa"/>
              <w:left w:w="15" w:type="dxa"/>
              <w:right w:w="15" w:type="dxa"/>
            </w:tcMar>
            <w:vAlign w:val="center"/>
          </w:tcPr>
          <w:p w14:paraId="6ADC22E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p w14:paraId="1A335B1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 xml:space="preserve"> </w:t>
            </w:r>
          </w:p>
        </w:tc>
        <w:tc>
          <w:tcPr>
            <w:tcW w:w="960" w:type="dxa"/>
            <w:tcMar>
              <w:top w:w="15" w:type="dxa"/>
              <w:left w:w="15" w:type="dxa"/>
              <w:right w:w="15" w:type="dxa"/>
            </w:tcMar>
          </w:tcPr>
          <w:p w14:paraId="3F399E1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shd w:val="clear" w:color="auto" w:fill="FFFFFF" w:themeFill="background1"/>
            <w:tcMar>
              <w:top w:w="15" w:type="dxa"/>
              <w:left w:w="15" w:type="dxa"/>
              <w:right w:w="15" w:type="dxa"/>
            </w:tcMar>
          </w:tcPr>
          <w:p w14:paraId="2072254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Number of direct jobs supported in individual MSMEs</w:t>
            </w:r>
          </w:p>
        </w:tc>
        <w:tc>
          <w:tcPr>
            <w:tcW w:w="1130" w:type="dxa"/>
            <w:shd w:val="clear" w:color="auto" w:fill="FFFFFF" w:themeFill="background1"/>
            <w:tcMar>
              <w:top w:w="15" w:type="dxa"/>
              <w:left w:w="15" w:type="dxa"/>
              <w:right w:w="15" w:type="dxa"/>
            </w:tcMar>
          </w:tcPr>
          <w:p w14:paraId="560C0D19"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275F53CC"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Gender</w:t>
            </w:r>
          </w:p>
        </w:tc>
      </w:tr>
      <w:tr w:rsidR="00C90704" w:rsidRPr="00C245E3" w14:paraId="0E409A89" w14:textId="77777777" w:rsidTr="79F73F97">
        <w:trPr>
          <w:trHeight w:val="300"/>
        </w:trPr>
        <w:tc>
          <w:tcPr>
            <w:tcW w:w="1131" w:type="dxa"/>
            <w:shd w:val="clear" w:color="auto" w:fill="E7E6E6" w:themeFill="background2"/>
            <w:tcMar>
              <w:top w:w="15" w:type="dxa"/>
              <w:left w:w="15" w:type="dxa"/>
              <w:right w:w="15" w:type="dxa"/>
            </w:tcMar>
            <w:vAlign w:val="center"/>
          </w:tcPr>
          <w:p w14:paraId="1F1B7271"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area</w:t>
            </w:r>
          </w:p>
        </w:tc>
        <w:tc>
          <w:tcPr>
            <w:tcW w:w="1148" w:type="dxa"/>
            <w:shd w:val="clear" w:color="auto" w:fill="E7E6E6" w:themeFill="background2"/>
            <w:tcMar>
              <w:top w:w="15" w:type="dxa"/>
              <w:left w:w="15" w:type="dxa"/>
              <w:right w:w="15" w:type="dxa"/>
            </w:tcMar>
            <w:vAlign w:val="center"/>
          </w:tcPr>
          <w:p w14:paraId="7B020A47"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Sub-result area</w:t>
            </w:r>
          </w:p>
        </w:tc>
        <w:tc>
          <w:tcPr>
            <w:tcW w:w="960" w:type="dxa"/>
            <w:shd w:val="clear" w:color="auto" w:fill="E7E6E6" w:themeFill="background2"/>
            <w:tcMar>
              <w:top w:w="15" w:type="dxa"/>
              <w:left w:w="15" w:type="dxa"/>
              <w:right w:w="15" w:type="dxa"/>
            </w:tcMar>
          </w:tcPr>
          <w:p w14:paraId="18512C99"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Level</w:t>
            </w:r>
          </w:p>
        </w:tc>
        <w:tc>
          <w:tcPr>
            <w:tcW w:w="2996" w:type="dxa"/>
            <w:gridSpan w:val="2"/>
            <w:shd w:val="clear" w:color="auto" w:fill="E7E6E6" w:themeFill="background2"/>
            <w:tcMar>
              <w:top w:w="15" w:type="dxa"/>
              <w:left w:w="15" w:type="dxa"/>
              <w:right w:w="15" w:type="dxa"/>
            </w:tcMar>
          </w:tcPr>
          <w:p w14:paraId="7D28A526"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DGIS indicator</w:t>
            </w:r>
          </w:p>
        </w:tc>
        <w:tc>
          <w:tcPr>
            <w:tcW w:w="1130" w:type="dxa"/>
            <w:shd w:val="clear" w:color="auto" w:fill="E7E6E6" w:themeFill="background2"/>
            <w:tcMar>
              <w:top w:w="15" w:type="dxa"/>
              <w:left w:w="15" w:type="dxa"/>
              <w:right w:w="15" w:type="dxa"/>
            </w:tcMar>
          </w:tcPr>
          <w:p w14:paraId="1B548C28"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Result type</w:t>
            </w:r>
          </w:p>
        </w:tc>
        <w:tc>
          <w:tcPr>
            <w:tcW w:w="1558" w:type="dxa"/>
            <w:shd w:val="clear" w:color="auto" w:fill="E7E6E6" w:themeFill="background2"/>
            <w:tcMar>
              <w:top w:w="15" w:type="dxa"/>
              <w:left w:w="15" w:type="dxa"/>
              <w:right w:w="15" w:type="dxa"/>
            </w:tcMar>
          </w:tcPr>
          <w:p w14:paraId="15919CFF" w14:textId="77777777" w:rsidR="00C90704" w:rsidRPr="00C245E3" w:rsidRDefault="00C90704" w:rsidP="00C245E3">
            <w:pPr>
              <w:spacing w:line="240" w:lineRule="atLeast"/>
              <w:rPr>
                <w:rFonts w:ascii="Verdana" w:eastAsia="Aptos Narrow" w:hAnsi="Verdana" w:cs="Aptos Narrow"/>
                <w:b/>
                <w:bCs/>
                <w:color w:val="000000" w:themeColor="text1"/>
                <w:sz w:val="18"/>
                <w:szCs w:val="18"/>
              </w:rPr>
            </w:pPr>
            <w:r w:rsidRPr="00C245E3">
              <w:rPr>
                <w:rFonts w:ascii="Verdana" w:hAnsi="Verdana"/>
                <w:b/>
                <w:color w:val="000000" w:themeColor="text1"/>
                <w:sz w:val="18"/>
                <w:szCs w:val="18"/>
              </w:rPr>
              <w:t>Disaggregation</w:t>
            </w:r>
          </w:p>
        </w:tc>
      </w:tr>
      <w:tr w:rsidR="00C90704" w:rsidRPr="00C245E3" w14:paraId="50391F07" w14:textId="77777777" w:rsidTr="79F73F97">
        <w:trPr>
          <w:trHeight w:val="870"/>
        </w:trPr>
        <w:tc>
          <w:tcPr>
            <w:tcW w:w="1131" w:type="dxa"/>
            <w:vMerge w:val="restart"/>
            <w:tcMar>
              <w:top w:w="15" w:type="dxa"/>
              <w:left w:w="15" w:type="dxa"/>
              <w:right w:w="15" w:type="dxa"/>
            </w:tcMar>
            <w:vAlign w:val="center"/>
          </w:tcPr>
          <w:p w14:paraId="5F75409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Enabling environment</w:t>
            </w:r>
          </w:p>
        </w:tc>
        <w:tc>
          <w:tcPr>
            <w:tcW w:w="1148" w:type="dxa"/>
            <w:shd w:val="clear" w:color="auto" w:fill="FFFFFF" w:themeFill="background1"/>
            <w:tcMar>
              <w:top w:w="15" w:type="dxa"/>
              <w:left w:w="15" w:type="dxa"/>
              <w:right w:w="15" w:type="dxa"/>
            </w:tcMar>
            <w:vAlign w:val="center"/>
          </w:tcPr>
          <w:p w14:paraId="303B3A3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Knowledge development and research (knowledge for policy)</w:t>
            </w:r>
          </w:p>
        </w:tc>
        <w:tc>
          <w:tcPr>
            <w:tcW w:w="960" w:type="dxa"/>
            <w:tcMar>
              <w:top w:w="15" w:type="dxa"/>
              <w:left w:w="15" w:type="dxa"/>
              <w:right w:w="15" w:type="dxa"/>
            </w:tcMar>
          </w:tcPr>
          <w:p w14:paraId="6B344E21"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tc>
        <w:tc>
          <w:tcPr>
            <w:tcW w:w="2996" w:type="dxa"/>
            <w:gridSpan w:val="2"/>
            <w:shd w:val="clear" w:color="auto" w:fill="FFFFFF" w:themeFill="background1"/>
            <w:tcMar>
              <w:top w:w="15" w:type="dxa"/>
              <w:left w:w="15" w:type="dxa"/>
              <w:right w:w="15" w:type="dxa"/>
            </w:tcMar>
          </w:tcPr>
          <w:p w14:paraId="50A62A2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Result question:</w:t>
            </w:r>
            <w:r w:rsidRPr="00C245E3">
              <w:rPr>
                <w:rFonts w:ascii="Verdana" w:hAnsi="Verdana"/>
                <w:color w:val="000000" w:themeColor="text1"/>
                <w:sz w:val="18"/>
                <w:szCs w:val="18"/>
              </w:rPr>
              <w:t xml:space="preserve"> What has this activity relating to knowledge development and research achieved?</w:t>
            </w:r>
          </w:p>
        </w:tc>
        <w:tc>
          <w:tcPr>
            <w:tcW w:w="1130" w:type="dxa"/>
            <w:shd w:val="clear" w:color="auto" w:fill="FFFFFF" w:themeFill="background1"/>
            <w:tcMar>
              <w:top w:w="15" w:type="dxa"/>
              <w:left w:w="15" w:type="dxa"/>
              <w:right w:w="15" w:type="dxa"/>
            </w:tcMar>
          </w:tcPr>
          <w:p w14:paraId="11ABA57C"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00F849F0"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3FC35F55" w14:textId="77777777" w:rsidTr="79F73F97">
        <w:trPr>
          <w:trHeight w:val="870"/>
        </w:trPr>
        <w:tc>
          <w:tcPr>
            <w:tcW w:w="1131" w:type="dxa"/>
            <w:vMerge/>
            <w:vAlign w:val="center"/>
          </w:tcPr>
          <w:p w14:paraId="3A683B24" w14:textId="77777777" w:rsidR="00C90704" w:rsidRPr="00C245E3" w:rsidRDefault="00C90704" w:rsidP="00C245E3">
            <w:pPr>
              <w:spacing w:line="240" w:lineRule="atLeast"/>
              <w:rPr>
                <w:rFonts w:ascii="Verdana" w:hAnsi="Verdana"/>
                <w:sz w:val="18"/>
                <w:szCs w:val="18"/>
              </w:rPr>
            </w:pPr>
          </w:p>
        </w:tc>
        <w:tc>
          <w:tcPr>
            <w:tcW w:w="1148" w:type="dxa"/>
            <w:shd w:val="clear" w:color="auto" w:fill="FFFFFF" w:themeFill="background1"/>
            <w:tcMar>
              <w:top w:w="15" w:type="dxa"/>
              <w:left w:w="15" w:type="dxa"/>
              <w:right w:w="15" w:type="dxa"/>
            </w:tcMar>
            <w:vAlign w:val="center"/>
          </w:tcPr>
          <w:p w14:paraId="4BB1B316"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Regulatory frameworks and quality control</w:t>
            </w:r>
          </w:p>
        </w:tc>
        <w:tc>
          <w:tcPr>
            <w:tcW w:w="960" w:type="dxa"/>
            <w:tcMar>
              <w:top w:w="15" w:type="dxa"/>
              <w:left w:w="15" w:type="dxa"/>
              <w:right w:w="15" w:type="dxa"/>
            </w:tcMar>
          </w:tcPr>
          <w:p w14:paraId="7B30391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p w14:paraId="040C23D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 xml:space="preserve"> </w:t>
            </w:r>
          </w:p>
        </w:tc>
        <w:tc>
          <w:tcPr>
            <w:tcW w:w="2996" w:type="dxa"/>
            <w:gridSpan w:val="2"/>
            <w:shd w:val="clear" w:color="auto" w:fill="FFFFFF" w:themeFill="background1"/>
            <w:tcMar>
              <w:top w:w="15" w:type="dxa"/>
              <w:left w:w="15" w:type="dxa"/>
              <w:right w:w="15" w:type="dxa"/>
            </w:tcMar>
          </w:tcPr>
          <w:p w14:paraId="60C7D754"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Result question:</w:t>
            </w:r>
            <w:r w:rsidRPr="00C245E3">
              <w:rPr>
                <w:rFonts w:ascii="Verdana" w:hAnsi="Verdana"/>
                <w:color w:val="000000" w:themeColor="text1"/>
                <w:sz w:val="18"/>
                <w:szCs w:val="18"/>
              </w:rPr>
              <w:t xml:space="preserve"> What has this activity relating to regulatory frameworks and quality control achieved?</w:t>
            </w:r>
          </w:p>
        </w:tc>
        <w:tc>
          <w:tcPr>
            <w:tcW w:w="1130" w:type="dxa"/>
            <w:shd w:val="clear" w:color="auto" w:fill="FFFFFF" w:themeFill="background1"/>
            <w:tcMar>
              <w:top w:w="15" w:type="dxa"/>
              <w:left w:w="15" w:type="dxa"/>
              <w:right w:w="15" w:type="dxa"/>
            </w:tcMar>
          </w:tcPr>
          <w:p w14:paraId="6D9CA4C1"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2D6967E4"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707CAC1A" w14:textId="77777777" w:rsidTr="79F73F97">
        <w:trPr>
          <w:trHeight w:val="870"/>
        </w:trPr>
        <w:tc>
          <w:tcPr>
            <w:tcW w:w="1131" w:type="dxa"/>
            <w:vMerge/>
            <w:vAlign w:val="center"/>
          </w:tcPr>
          <w:p w14:paraId="452D20FC" w14:textId="77777777" w:rsidR="00C90704" w:rsidRPr="00C245E3" w:rsidRDefault="00C90704" w:rsidP="00C245E3">
            <w:pPr>
              <w:spacing w:line="240" w:lineRule="atLeast"/>
              <w:rPr>
                <w:rFonts w:ascii="Verdana" w:hAnsi="Verdana"/>
                <w:sz w:val="18"/>
                <w:szCs w:val="18"/>
              </w:rPr>
            </w:pPr>
          </w:p>
        </w:tc>
        <w:tc>
          <w:tcPr>
            <w:tcW w:w="1148" w:type="dxa"/>
            <w:shd w:val="clear" w:color="auto" w:fill="FFFFFF" w:themeFill="background1"/>
            <w:tcMar>
              <w:top w:w="15" w:type="dxa"/>
              <w:left w:w="15" w:type="dxa"/>
              <w:right w:w="15" w:type="dxa"/>
            </w:tcMar>
            <w:vAlign w:val="center"/>
          </w:tcPr>
          <w:p w14:paraId="6F574CF8"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 xml:space="preserve">Capacity building and technology transfer </w:t>
            </w:r>
            <w:r w:rsidRPr="00C245E3">
              <w:rPr>
                <w:rFonts w:ascii="Verdana" w:hAnsi="Verdana"/>
                <w:color w:val="000000" w:themeColor="text1"/>
                <w:sz w:val="18"/>
                <w:szCs w:val="18"/>
              </w:rPr>
              <w:lastRenderedPageBreak/>
              <w:t>(policy for knowledge)</w:t>
            </w:r>
          </w:p>
        </w:tc>
        <w:tc>
          <w:tcPr>
            <w:tcW w:w="960" w:type="dxa"/>
            <w:tcMar>
              <w:top w:w="15" w:type="dxa"/>
              <w:left w:w="15" w:type="dxa"/>
              <w:right w:w="15" w:type="dxa"/>
            </w:tcMar>
          </w:tcPr>
          <w:p w14:paraId="0330B5BE"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lastRenderedPageBreak/>
              <w:t>Project</w:t>
            </w:r>
          </w:p>
          <w:p w14:paraId="7EB8E002"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 xml:space="preserve"> </w:t>
            </w:r>
          </w:p>
        </w:tc>
        <w:tc>
          <w:tcPr>
            <w:tcW w:w="2996" w:type="dxa"/>
            <w:gridSpan w:val="2"/>
            <w:shd w:val="clear" w:color="auto" w:fill="FFFFFF" w:themeFill="background1"/>
            <w:tcMar>
              <w:top w:w="15" w:type="dxa"/>
              <w:left w:w="15" w:type="dxa"/>
              <w:right w:w="15" w:type="dxa"/>
            </w:tcMar>
          </w:tcPr>
          <w:p w14:paraId="1576B07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Result question:</w:t>
            </w:r>
            <w:r w:rsidRPr="00C245E3">
              <w:rPr>
                <w:rFonts w:ascii="Verdana" w:hAnsi="Verdana"/>
                <w:color w:val="000000" w:themeColor="text1"/>
                <w:sz w:val="18"/>
                <w:szCs w:val="18"/>
              </w:rPr>
              <w:t xml:space="preserve"> What has this activity relating to capacity building and technology transfer achieved?</w:t>
            </w:r>
          </w:p>
        </w:tc>
        <w:tc>
          <w:tcPr>
            <w:tcW w:w="1130" w:type="dxa"/>
            <w:shd w:val="clear" w:color="auto" w:fill="FFFFFF" w:themeFill="background1"/>
            <w:tcMar>
              <w:top w:w="15" w:type="dxa"/>
              <w:left w:w="15" w:type="dxa"/>
              <w:right w:w="15" w:type="dxa"/>
            </w:tcMar>
          </w:tcPr>
          <w:p w14:paraId="055C2923"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3BA2D2C5"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90704" w:rsidRPr="00C245E3" w14:paraId="042922C6" w14:textId="77777777" w:rsidTr="79F73F97">
        <w:trPr>
          <w:trHeight w:val="870"/>
        </w:trPr>
        <w:tc>
          <w:tcPr>
            <w:tcW w:w="1131" w:type="dxa"/>
            <w:vMerge/>
            <w:vAlign w:val="center"/>
          </w:tcPr>
          <w:p w14:paraId="79E347CB" w14:textId="77777777" w:rsidR="00C90704" w:rsidRPr="00C245E3" w:rsidRDefault="00C90704" w:rsidP="00C245E3">
            <w:pPr>
              <w:spacing w:line="240" w:lineRule="atLeast"/>
              <w:rPr>
                <w:rFonts w:ascii="Verdana" w:hAnsi="Verdana"/>
                <w:sz w:val="18"/>
                <w:szCs w:val="18"/>
              </w:rPr>
            </w:pPr>
          </w:p>
        </w:tc>
        <w:tc>
          <w:tcPr>
            <w:tcW w:w="1148" w:type="dxa"/>
            <w:shd w:val="clear" w:color="auto" w:fill="FFFFFF" w:themeFill="background1"/>
            <w:tcMar>
              <w:top w:w="15" w:type="dxa"/>
              <w:left w:w="15" w:type="dxa"/>
              <w:right w:w="15" w:type="dxa"/>
            </w:tcMar>
            <w:vAlign w:val="center"/>
          </w:tcPr>
          <w:p w14:paraId="1F463BB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Empowerment of groups in vulnerable situations</w:t>
            </w:r>
          </w:p>
        </w:tc>
        <w:tc>
          <w:tcPr>
            <w:tcW w:w="960" w:type="dxa"/>
            <w:tcMar>
              <w:top w:w="15" w:type="dxa"/>
              <w:left w:w="15" w:type="dxa"/>
              <w:right w:w="15" w:type="dxa"/>
            </w:tcMar>
          </w:tcPr>
          <w:p w14:paraId="646ED1BF"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Project</w:t>
            </w:r>
          </w:p>
          <w:p w14:paraId="0A71718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 xml:space="preserve"> </w:t>
            </w:r>
          </w:p>
        </w:tc>
        <w:tc>
          <w:tcPr>
            <w:tcW w:w="2996" w:type="dxa"/>
            <w:gridSpan w:val="2"/>
            <w:shd w:val="clear" w:color="auto" w:fill="FFFFFF" w:themeFill="background1"/>
            <w:tcMar>
              <w:top w:w="15" w:type="dxa"/>
              <w:left w:w="15" w:type="dxa"/>
              <w:right w:w="15" w:type="dxa"/>
            </w:tcMar>
          </w:tcPr>
          <w:p w14:paraId="3D1D9D37"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b/>
                <w:color w:val="000000" w:themeColor="text1"/>
                <w:sz w:val="18"/>
                <w:szCs w:val="18"/>
              </w:rPr>
              <w:t xml:space="preserve">Result question: </w:t>
            </w:r>
            <w:r w:rsidRPr="00C245E3">
              <w:rPr>
                <w:rFonts w:ascii="Verdana" w:hAnsi="Verdana"/>
                <w:color w:val="000000" w:themeColor="text1"/>
                <w:sz w:val="18"/>
                <w:szCs w:val="18"/>
              </w:rPr>
              <w:t>What has this activity relating to empowerment of groups in vulnerable situations achieved?</w:t>
            </w:r>
          </w:p>
        </w:tc>
        <w:tc>
          <w:tcPr>
            <w:tcW w:w="1130" w:type="dxa"/>
            <w:shd w:val="clear" w:color="auto" w:fill="FFFFFF" w:themeFill="background1"/>
            <w:tcMar>
              <w:top w:w="15" w:type="dxa"/>
              <w:left w:w="15" w:type="dxa"/>
              <w:right w:w="15" w:type="dxa"/>
            </w:tcMar>
          </w:tcPr>
          <w:p w14:paraId="342517E7"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Outcome</w:t>
            </w:r>
          </w:p>
        </w:tc>
        <w:tc>
          <w:tcPr>
            <w:tcW w:w="1558" w:type="dxa"/>
            <w:shd w:val="clear" w:color="auto" w:fill="FFFFFF" w:themeFill="background1"/>
            <w:tcMar>
              <w:top w:w="15" w:type="dxa"/>
              <w:left w:w="15" w:type="dxa"/>
              <w:right w:w="15" w:type="dxa"/>
            </w:tcMar>
          </w:tcPr>
          <w:p w14:paraId="0E12D95B" w14:textId="77777777" w:rsidR="00C90704" w:rsidRPr="00C245E3" w:rsidRDefault="00C90704" w:rsidP="00C245E3">
            <w:pPr>
              <w:spacing w:line="240" w:lineRule="atLeast"/>
              <w:rPr>
                <w:rFonts w:ascii="Verdana" w:eastAsia="Aptos Narrow" w:hAnsi="Verdana" w:cs="Aptos Narrow"/>
                <w:color w:val="000000" w:themeColor="text1"/>
                <w:sz w:val="18"/>
                <w:szCs w:val="18"/>
              </w:rPr>
            </w:pPr>
            <w:r w:rsidRPr="00C245E3">
              <w:rPr>
                <w:rFonts w:ascii="Verdana" w:hAnsi="Verdana"/>
                <w:color w:val="000000" w:themeColor="text1"/>
                <w:sz w:val="18"/>
                <w:szCs w:val="18"/>
              </w:rPr>
              <w:t>N/A</w:t>
            </w:r>
          </w:p>
        </w:tc>
      </w:tr>
      <w:tr w:rsidR="00C245E3" w:rsidRPr="00C245E3" w14:paraId="4D15FEA4" w14:textId="77777777" w:rsidTr="00C245E3">
        <w:tblPrEx>
          <w:tblCellMar>
            <w:left w:w="0" w:type="dxa"/>
            <w:right w:w="0" w:type="dxa"/>
          </w:tblCellMar>
        </w:tblPrEx>
        <w:trPr>
          <w:trHeight w:val="945"/>
        </w:trPr>
        <w:tc>
          <w:tcPr>
            <w:tcW w:w="1131" w:type="dxa"/>
            <w:vMerge w:val="restart"/>
            <w:vAlign w:val="center"/>
            <w:hideMark/>
          </w:tcPr>
          <w:p w14:paraId="3927A793"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sz w:val="18"/>
                <w:szCs w:val="18"/>
              </w:rPr>
              <w:t> </w:t>
            </w:r>
          </w:p>
        </w:tc>
        <w:tc>
          <w:tcPr>
            <w:tcW w:w="1148" w:type="dxa"/>
            <w:shd w:val="clear" w:color="auto" w:fill="FFFFFF" w:themeFill="background1"/>
            <w:vAlign w:val="center"/>
            <w:hideMark/>
          </w:tcPr>
          <w:p w14:paraId="41547B3C" w14:textId="77777777" w:rsidR="00C90704" w:rsidRPr="00C245E3" w:rsidRDefault="00C90704" w:rsidP="00C245E3">
            <w:pPr>
              <w:spacing w:line="240" w:lineRule="atLeast"/>
              <w:ind w:left="-17"/>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Climate change adaptation</w:t>
            </w:r>
            <w:r w:rsidRPr="00C245E3">
              <w:rPr>
                <w:rFonts w:ascii="Verdana" w:hAnsi="Verdana"/>
                <w:sz w:val="18"/>
                <w:szCs w:val="18"/>
              </w:rPr>
              <w:t> </w:t>
            </w:r>
          </w:p>
        </w:tc>
        <w:tc>
          <w:tcPr>
            <w:tcW w:w="995" w:type="dxa"/>
            <w:gridSpan w:val="2"/>
            <w:shd w:val="clear" w:color="auto" w:fill="FFFFFF" w:themeFill="background1"/>
            <w:hideMark/>
          </w:tcPr>
          <w:p w14:paraId="6108758D"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TBD</w:t>
            </w:r>
            <w:r w:rsidRPr="00C245E3">
              <w:rPr>
                <w:rFonts w:ascii="Verdana" w:hAnsi="Verdana"/>
                <w:sz w:val="18"/>
                <w:szCs w:val="18"/>
              </w:rPr>
              <w:t> </w:t>
            </w:r>
          </w:p>
        </w:tc>
        <w:tc>
          <w:tcPr>
            <w:tcW w:w="2961" w:type="dxa"/>
            <w:shd w:val="clear" w:color="auto" w:fill="FFFFFF" w:themeFill="background1"/>
            <w:hideMark/>
          </w:tcPr>
          <w:p w14:paraId="1C928A60"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Number of beneficiaries reached with measures to increase their resilience and/or reduce their exposure to climate change</w:t>
            </w:r>
            <w:r w:rsidRPr="00C245E3">
              <w:rPr>
                <w:rFonts w:ascii="Verdana" w:hAnsi="Verdana"/>
                <w:sz w:val="18"/>
                <w:szCs w:val="18"/>
              </w:rPr>
              <w:t> </w:t>
            </w:r>
          </w:p>
        </w:tc>
        <w:tc>
          <w:tcPr>
            <w:tcW w:w="1130" w:type="dxa"/>
            <w:shd w:val="clear" w:color="auto" w:fill="FFFFFF" w:themeFill="background1"/>
            <w:hideMark/>
          </w:tcPr>
          <w:p w14:paraId="3CD34AC9"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Output</w:t>
            </w:r>
            <w:r w:rsidRPr="00C245E3">
              <w:rPr>
                <w:rFonts w:ascii="Verdana" w:hAnsi="Verdana"/>
                <w:sz w:val="18"/>
                <w:szCs w:val="18"/>
              </w:rPr>
              <w:t> </w:t>
            </w:r>
          </w:p>
        </w:tc>
        <w:tc>
          <w:tcPr>
            <w:tcW w:w="1558" w:type="dxa"/>
            <w:shd w:val="clear" w:color="auto" w:fill="FFFFFF" w:themeFill="background1"/>
            <w:hideMark/>
          </w:tcPr>
          <w:p w14:paraId="10E8C68E"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Gender</w:t>
            </w:r>
            <w:r w:rsidRPr="00C245E3">
              <w:rPr>
                <w:rFonts w:ascii="Verdana" w:hAnsi="Verdana"/>
                <w:sz w:val="18"/>
                <w:szCs w:val="18"/>
              </w:rPr>
              <w:t> </w:t>
            </w:r>
          </w:p>
        </w:tc>
      </w:tr>
      <w:tr w:rsidR="00C245E3" w:rsidRPr="00C245E3" w14:paraId="11C14AE4" w14:textId="77777777" w:rsidTr="00C245E3">
        <w:tblPrEx>
          <w:tblCellMar>
            <w:left w:w="0" w:type="dxa"/>
            <w:right w:w="0" w:type="dxa"/>
          </w:tblCellMar>
        </w:tblPrEx>
        <w:trPr>
          <w:trHeight w:val="945"/>
        </w:trPr>
        <w:tc>
          <w:tcPr>
            <w:tcW w:w="1131" w:type="dxa"/>
            <w:vMerge/>
            <w:vAlign w:val="center"/>
            <w:hideMark/>
          </w:tcPr>
          <w:p w14:paraId="5FD6B73D" w14:textId="77777777" w:rsidR="00C90704" w:rsidRPr="00C245E3" w:rsidRDefault="00C90704" w:rsidP="00C245E3">
            <w:pPr>
              <w:spacing w:line="240" w:lineRule="atLeast"/>
              <w:rPr>
                <w:rFonts w:ascii="Verdana" w:eastAsia="Times New Roman" w:hAnsi="Verdana" w:cs="Segoe UI"/>
                <w:kern w:val="0"/>
                <w:sz w:val="18"/>
                <w:szCs w:val="18"/>
                <w:lang w:val="en-US"/>
                <w14:ligatures w14:val="none"/>
              </w:rPr>
            </w:pPr>
          </w:p>
        </w:tc>
        <w:tc>
          <w:tcPr>
            <w:tcW w:w="1148" w:type="dxa"/>
            <w:shd w:val="clear" w:color="auto" w:fill="FFFFFF" w:themeFill="background1"/>
            <w:vAlign w:val="center"/>
            <w:hideMark/>
          </w:tcPr>
          <w:p w14:paraId="4B407AF2"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Prevention of biodiversity loss</w:t>
            </w:r>
            <w:r w:rsidRPr="00C245E3">
              <w:rPr>
                <w:rFonts w:ascii="Verdana" w:hAnsi="Verdana"/>
                <w:sz w:val="18"/>
                <w:szCs w:val="18"/>
              </w:rPr>
              <w:t> </w:t>
            </w:r>
          </w:p>
          <w:p w14:paraId="03B98350"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sz w:val="18"/>
                <w:szCs w:val="18"/>
              </w:rPr>
              <w:t>  </w:t>
            </w:r>
          </w:p>
        </w:tc>
        <w:tc>
          <w:tcPr>
            <w:tcW w:w="995" w:type="dxa"/>
            <w:gridSpan w:val="2"/>
            <w:shd w:val="clear" w:color="auto" w:fill="FFFFFF" w:themeFill="background1"/>
            <w:hideMark/>
          </w:tcPr>
          <w:p w14:paraId="7EEF4F07"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TBD</w:t>
            </w:r>
            <w:r w:rsidRPr="00C245E3">
              <w:rPr>
                <w:rFonts w:ascii="Verdana" w:hAnsi="Verdana"/>
                <w:sz w:val="18"/>
                <w:szCs w:val="18"/>
              </w:rPr>
              <w:t> </w:t>
            </w:r>
          </w:p>
          <w:p w14:paraId="3DB7BDDF"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 </w:t>
            </w:r>
            <w:r w:rsidRPr="00C245E3">
              <w:rPr>
                <w:rFonts w:ascii="Verdana" w:hAnsi="Verdana"/>
                <w:sz w:val="18"/>
                <w:szCs w:val="18"/>
              </w:rPr>
              <w:t> </w:t>
            </w:r>
          </w:p>
        </w:tc>
        <w:tc>
          <w:tcPr>
            <w:tcW w:w="2961" w:type="dxa"/>
            <w:shd w:val="clear" w:color="auto" w:fill="FFFFFF" w:themeFill="background1"/>
            <w:hideMark/>
          </w:tcPr>
          <w:p w14:paraId="4CFBF771"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b/>
                <w:color w:val="000000"/>
                <w:sz w:val="18"/>
                <w:szCs w:val="18"/>
              </w:rPr>
              <w:t>Basket indicator Biodiversity</w:t>
            </w:r>
            <w:r w:rsidRPr="00C245E3">
              <w:rPr>
                <w:rFonts w:ascii="Verdana" w:hAnsi="Verdana"/>
                <w:color w:val="000000"/>
                <w:sz w:val="18"/>
                <w:szCs w:val="18"/>
              </w:rPr>
              <w:t>: Area (number of hectares) that has benefited from activities aimed at sustainable management or other improved practices, contributing to enhanced ecosystem resilience and ecosystem services</w:t>
            </w:r>
            <w:r w:rsidRPr="00C245E3">
              <w:rPr>
                <w:rFonts w:ascii="Verdana" w:hAnsi="Verdana"/>
                <w:sz w:val="18"/>
                <w:szCs w:val="18"/>
              </w:rPr>
              <w:t> </w:t>
            </w:r>
          </w:p>
        </w:tc>
        <w:tc>
          <w:tcPr>
            <w:tcW w:w="1130" w:type="dxa"/>
            <w:shd w:val="clear" w:color="auto" w:fill="FFFFFF" w:themeFill="background1"/>
            <w:hideMark/>
          </w:tcPr>
          <w:p w14:paraId="7950854F"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Outcome</w:t>
            </w:r>
            <w:r w:rsidRPr="00C245E3">
              <w:rPr>
                <w:rFonts w:ascii="Verdana" w:hAnsi="Verdana"/>
                <w:sz w:val="18"/>
                <w:szCs w:val="18"/>
              </w:rPr>
              <w:t> </w:t>
            </w:r>
          </w:p>
        </w:tc>
        <w:tc>
          <w:tcPr>
            <w:tcW w:w="1558" w:type="dxa"/>
            <w:shd w:val="clear" w:color="auto" w:fill="FFFFFF" w:themeFill="background1"/>
            <w:hideMark/>
          </w:tcPr>
          <w:p w14:paraId="2117310C"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N/A</w:t>
            </w:r>
            <w:r w:rsidRPr="00C245E3">
              <w:rPr>
                <w:rFonts w:ascii="Verdana" w:hAnsi="Verdana"/>
                <w:sz w:val="18"/>
                <w:szCs w:val="18"/>
              </w:rPr>
              <w:t> </w:t>
            </w:r>
          </w:p>
        </w:tc>
      </w:tr>
      <w:tr w:rsidR="00C90704" w:rsidRPr="00343883" w14:paraId="586A3023" w14:textId="77777777" w:rsidTr="00C245E3">
        <w:tblPrEx>
          <w:tblCellMar>
            <w:left w:w="0" w:type="dxa"/>
            <w:right w:w="0" w:type="dxa"/>
          </w:tblCellMar>
        </w:tblPrEx>
        <w:trPr>
          <w:trHeight w:val="855"/>
        </w:trPr>
        <w:tc>
          <w:tcPr>
            <w:tcW w:w="1131" w:type="dxa"/>
            <w:vAlign w:val="bottom"/>
            <w:hideMark/>
          </w:tcPr>
          <w:p w14:paraId="3F62C2C7" w14:textId="77777777" w:rsidR="00C90704" w:rsidRPr="00C245E3" w:rsidRDefault="00C90704" w:rsidP="00C245E3">
            <w:pPr>
              <w:spacing w:line="240" w:lineRule="atLeast"/>
              <w:textAlignment w:val="baseline"/>
              <w:rPr>
                <w:rFonts w:ascii="Verdana" w:eastAsia="Times New Roman" w:hAnsi="Verdana" w:cs="Segoe UI"/>
                <w:kern w:val="0"/>
                <w:sz w:val="18"/>
                <w:szCs w:val="18"/>
                <w:lang w:val="en-US"/>
                <w14:ligatures w14:val="none"/>
              </w:rPr>
            </w:pPr>
          </w:p>
        </w:tc>
        <w:tc>
          <w:tcPr>
            <w:tcW w:w="1148" w:type="dxa"/>
            <w:vAlign w:val="bottom"/>
            <w:hideMark/>
          </w:tcPr>
          <w:p w14:paraId="4AD71DBD"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b/>
                <w:color w:val="000000"/>
                <w:sz w:val="18"/>
                <w:szCs w:val="18"/>
              </w:rPr>
              <w:t> </w:t>
            </w:r>
            <w:r w:rsidRPr="00C245E3">
              <w:rPr>
                <w:rFonts w:ascii="Verdana" w:hAnsi="Verdana"/>
                <w:sz w:val="18"/>
                <w:szCs w:val="18"/>
              </w:rPr>
              <w:t> </w:t>
            </w:r>
          </w:p>
        </w:tc>
        <w:tc>
          <w:tcPr>
            <w:tcW w:w="995" w:type="dxa"/>
            <w:gridSpan w:val="2"/>
            <w:hideMark/>
          </w:tcPr>
          <w:p w14:paraId="399CC682"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TBD</w:t>
            </w:r>
            <w:r w:rsidRPr="00C245E3">
              <w:rPr>
                <w:rFonts w:ascii="Verdana" w:hAnsi="Verdana"/>
                <w:sz w:val="18"/>
                <w:szCs w:val="18"/>
              </w:rPr>
              <w:t> </w:t>
            </w:r>
          </w:p>
          <w:p w14:paraId="4E7843D0"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sz w:val="18"/>
                <w:szCs w:val="18"/>
              </w:rPr>
              <w:t>  </w:t>
            </w:r>
          </w:p>
        </w:tc>
        <w:tc>
          <w:tcPr>
            <w:tcW w:w="2961" w:type="dxa"/>
            <w:hideMark/>
          </w:tcPr>
          <w:p w14:paraId="76CE738D"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Number of individuals with strengthened competencies to advance women’s rights and gender equality</w:t>
            </w:r>
            <w:r w:rsidRPr="00C245E3">
              <w:rPr>
                <w:rFonts w:ascii="Verdana" w:hAnsi="Verdana"/>
                <w:sz w:val="18"/>
                <w:szCs w:val="18"/>
              </w:rPr>
              <w:t> </w:t>
            </w:r>
          </w:p>
        </w:tc>
        <w:tc>
          <w:tcPr>
            <w:tcW w:w="1130" w:type="dxa"/>
            <w:shd w:val="clear" w:color="auto" w:fill="FFFFFF" w:themeFill="background1"/>
            <w:hideMark/>
          </w:tcPr>
          <w:p w14:paraId="6933E520" w14:textId="77777777" w:rsidR="00C90704" w:rsidRPr="00C245E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color w:val="000000"/>
                <w:sz w:val="18"/>
                <w:szCs w:val="18"/>
              </w:rPr>
              <w:t>Output</w:t>
            </w:r>
            <w:r w:rsidRPr="00C245E3">
              <w:rPr>
                <w:rFonts w:ascii="Verdana" w:hAnsi="Verdana"/>
                <w:sz w:val="18"/>
                <w:szCs w:val="18"/>
              </w:rPr>
              <w:t> </w:t>
            </w:r>
          </w:p>
        </w:tc>
        <w:tc>
          <w:tcPr>
            <w:tcW w:w="1558" w:type="dxa"/>
            <w:hideMark/>
          </w:tcPr>
          <w:p w14:paraId="06E9F50A" w14:textId="77777777" w:rsidR="00C90704" w:rsidRPr="00343883" w:rsidRDefault="00C90704" w:rsidP="00C245E3">
            <w:pPr>
              <w:spacing w:line="240" w:lineRule="atLeast"/>
              <w:textAlignment w:val="baseline"/>
              <w:rPr>
                <w:rFonts w:ascii="Verdana" w:eastAsia="Times New Roman" w:hAnsi="Verdana" w:cs="Segoe UI"/>
                <w:kern w:val="0"/>
                <w:sz w:val="18"/>
                <w:szCs w:val="18"/>
                <w14:ligatures w14:val="none"/>
              </w:rPr>
            </w:pPr>
            <w:r w:rsidRPr="00C245E3">
              <w:rPr>
                <w:rFonts w:ascii="Verdana" w:hAnsi="Verdana"/>
                <w:sz w:val="18"/>
                <w:szCs w:val="18"/>
              </w:rPr>
              <w:t>N/A</w:t>
            </w:r>
            <w:r w:rsidRPr="00343883">
              <w:rPr>
                <w:rFonts w:ascii="Verdana" w:hAnsi="Verdana"/>
                <w:sz w:val="18"/>
                <w:szCs w:val="18"/>
              </w:rPr>
              <w:t> </w:t>
            </w:r>
          </w:p>
        </w:tc>
      </w:tr>
    </w:tbl>
    <w:p w14:paraId="7CC58EB2" w14:textId="77777777" w:rsidR="00C90704" w:rsidRPr="00343883" w:rsidRDefault="00C90704" w:rsidP="00C245E3">
      <w:pPr>
        <w:spacing w:line="240" w:lineRule="atLeast"/>
        <w:rPr>
          <w:rFonts w:ascii="Verdana" w:hAnsi="Verdana" w:cs="Arial"/>
          <w:b/>
          <w:bCs/>
          <w:kern w:val="0"/>
          <w:sz w:val="18"/>
          <w:szCs w:val="18"/>
          <w:lang w:val="en-US"/>
        </w:rPr>
      </w:pPr>
    </w:p>
    <w:p w14:paraId="420036A7" w14:textId="77777777" w:rsidR="00BF4816" w:rsidRPr="00343883" w:rsidRDefault="00BF4816" w:rsidP="00C245E3">
      <w:pPr>
        <w:spacing w:line="240" w:lineRule="atLeast"/>
        <w:rPr>
          <w:rFonts w:ascii="Verdana" w:hAnsi="Verdana" w:cs="Arial"/>
          <w:b/>
          <w:bCs/>
          <w:kern w:val="0"/>
          <w:sz w:val="18"/>
          <w:szCs w:val="18"/>
        </w:rPr>
      </w:pPr>
    </w:p>
    <w:sectPr w:rsidR="00BF4816" w:rsidRPr="00343883" w:rsidSect="00C245E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CD8A3" w14:textId="77777777" w:rsidR="00367111" w:rsidRDefault="00367111" w:rsidP="00F84309">
      <w:pPr>
        <w:spacing w:after="0" w:line="240" w:lineRule="auto"/>
      </w:pPr>
      <w:r>
        <w:separator/>
      </w:r>
    </w:p>
  </w:endnote>
  <w:endnote w:type="continuationSeparator" w:id="0">
    <w:p w14:paraId="63F0253D" w14:textId="77777777" w:rsidR="00367111" w:rsidRDefault="00367111" w:rsidP="00F84309">
      <w:pPr>
        <w:spacing w:after="0" w:line="240" w:lineRule="auto"/>
      </w:pPr>
      <w:r>
        <w:continuationSeparator/>
      </w:r>
    </w:p>
  </w:endnote>
  <w:endnote w:type="continuationNotice" w:id="1">
    <w:p w14:paraId="14067FE4" w14:textId="77777777" w:rsidR="00367111" w:rsidRDefault="00367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35F9" w14:textId="77777777" w:rsidR="00A650DE" w:rsidRDefault="00A650DE">
    <w:pPr>
      <w:pStyle w:val="Voettekst"/>
    </w:pPr>
    <w:r>
      <w:t>AVT/BZ-260716-002</w:t>
    </w:r>
    <w:r>
      <w:tab/>
    </w:r>
    <w:r>
      <w:fldChar w:fldCharType="begin"/>
    </w:r>
    <w:r>
      <w:instrText>PAGE   \* MERGEFORMAT</w:instrText>
    </w:r>
    <w:r>
      <w:fldChar w:fldCharType="separate"/>
    </w:r>
    <w:r>
      <w:t>1</w:t>
    </w:r>
    <w:r>
      <w:fldChar w:fldCharType="end"/>
    </w:r>
  </w:p>
  <w:p w14:paraId="2D364F20" w14:textId="77777777" w:rsidR="00A650DE" w:rsidRDefault="00A650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D113" w14:textId="77777777" w:rsidR="00367111" w:rsidRDefault="00367111" w:rsidP="00F84309">
      <w:pPr>
        <w:spacing w:after="0" w:line="240" w:lineRule="auto"/>
      </w:pPr>
      <w:r>
        <w:separator/>
      </w:r>
    </w:p>
  </w:footnote>
  <w:footnote w:type="continuationSeparator" w:id="0">
    <w:p w14:paraId="0EDBC23F" w14:textId="77777777" w:rsidR="00367111" w:rsidRDefault="00367111" w:rsidP="00F84309">
      <w:pPr>
        <w:spacing w:after="0" w:line="240" w:lineRule="auto"/>
      </w:pPr>
      <w:r>
        <w:continuationSeparator/>
      </w:r>
    </w:p>
  </w:footnote>
  <w:footnote w:type="continuationNotice" w:id="1">
    <w:p w14:paraId="64C42A9E" w14:textId="77777777" w:rsidR="00367111" w:rsidRDefault="00367111">
      <w:pPr>
        <w:spacing w:after="0" w:line="240" w:lineRule="auto"/>
      </w:pPr>
    </w:p>
  </w:footnote>
  <w:footnote w:id="2">
    <w:p w14:paraId="639EE7D8" w14:textId="1B70C944" w:rsidR="00824AB5" w:rsidRPr="004539BC" w:rsidRDefault="00824AB5" w:rsidP="00824AB5">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w:t>
      </w:r>
      <w:r w:rsidR="00A2078B" w:rsidRPr="00A2078B">
        <w:rPr>
          <w:rFonts w:ascii="Verdana" w:hAnsi="Verdana"/>
          <w:sz w:val="16"/>
        </w:rPr>
        <w:t>1 https://www.rvo.nl/subsidies-financiering/ddp</w:t>
      </w:r>
    </w:p>
  </w:footnote>
  <w:footnote w:id="3">
    <w:p w14:paraId="62312900" w14:textId="77777777" w:rsidR="00804D23" w:rsidRPr="005B6671" w:rsidRDefault="00804D23" w:rsidP="283477C2">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House of Representatives, 2025-2026, 36800, “Policy Letter – Foreign Affairs 2026”, 24 April 2026.</w:t>
      </w:r>
    </w:p>
  </w:footnote>
  <w:footnote w:id="4">
    <w:p w14:paraId="12FED58C" w14:textId="77777777" w:rsidR="005B6671" w:rsidRDefault="005B6671">
      <w:pPr>
        <w:pStyle w:val="Voetnoottekst"/>
      </w:pPr>
      <w:r>
        <w:rPr>
          <w:rStyle w:val="Voetnootmarkering"/>
          <w:rFonts w:ascii="Verdana" w:hAnsi="Verdana"/>
          <w:sz w:val="16"/>
          <w:szCs w:val="16"/>
        </w:rPr>
        <w:footnoteRef/>
      </w:r>
      <w:r>
        <w:rPr>
          <w:rFonts w:ascii="Verdana" w:hAnsi="Verdana"/>
          <w:sz w:val="16"/>
        </w:rPr>
        <w:t xml:space="preserve"> The Global Gateway strategy is an EU initiative aimed at the global bundling of development cooperation, trade and diplomacy.</w:t>
      </w:r>
    </w:p>
  </w:footnote>
  <w:footnote w:id="5">
    <w:p w14:paraId="55530897" w14:textId="77777777" w:rsidR="008006CC" w:rsidRPr="001467B0" w:rsidRDefault="008006CC" w:rsidP="283477C2">
      <w:pPr>
        <w:pStyle w:val="Voetnoottekst"/>
        <w:rPr>
          <w:rFonts w:ascii="Verdana" w:hAnsi="Verdana"/>
          <w:sz w:val="16"/>
          <w:szCs w:val="16"/>
        </w:rPr>
      </w:pPr>
      <w:r>
        <w:rPr>
          <w:rStyle w:val="Voetnootmarkering"/>
          <w:rFonts w:ascii="Verdana" w:hAnsi="Verdana"/>
          <w:sz w:val="16"/>
          <w:szCs w:val="16"/>
        </w:rPr>
        <w:footnoteRef/>
      </w:r>
      <w:r>
        <w:t xml:space="preserve"> Parliamentary Paper, House of Representatives, 2022-2023, 33625, no. 350.</w:t>
      </w:r>
    </w:p>
  </w:footnote>
  <w:footnote w:id="6">
    <w:p w14:paraId="6D7D738D" w14:textId="77777777" w:rsidR="001467B0" w:rsidRPr="001467B0" w:rsidRDefault="001467B0" w:rsidP="283477C2">
      <w:pPr>
        <w:pStyle w:val="Voetnoottekst"/>
      </w:pPr>
      <w:r>
        <w:rPr>
          <w:rStyle w:val="Voetnootmarkering"/>
          <w:rFonts w:ascii="Verdana" w:hAnsi="Verdana"/>
          <w:sz w:val="16"/>
          <w:szCs w:val="16"/>
        </w:rPr>
        <w:footnoteRef/>
      </w:r>
      <w:r>
        <w:rPr>
          <w:rFonts w:ascii="Verdana" w:hAnsi="Verdana"/>
          <w:sz w:val="16"/>
        </w:rPr>
        <w:t xml:space="preserve"> For more information on the Sustainable Development Goals (SDGs) see https://www.government.nl/themes/international-cooperation/united-nations/sustainable-development-goals.</w:t>
      </w:r>
    </w:p>
  </w:footnote>
  <w:footnote w:id="7">
    <w:p w14:paraId="00C6DB3E" w14:textId="77777777" w:rsidR="00DB1DDC" w:rsidRPr="00DB1DDC" w:rsidRDefault="00DB1DDC">
      <w:pPr>
        <w:pStyle w:val="Voetnoottekst"/>
        <w:rPr>
          <w:rFonts w:ascii="Verdana" w:hAnsi="Verdana"/>
          <w:sz w:val="16"/>
          <w:szCs w:val="16"/>
        </w:rPr>
      </w:pPr>
      <w:r>
        <w:rPr>
          <w:rStyle w:val="Voetnootmarkering"/>
          <w:rFonts w:ascii="Verdana" w:hAnsi="Verdana"/>
          <w:sz w:val="16"/>
          <w:szCs w:val="16"/>
        </w:rPr>
        <w:footnoteRef/>
      </w:r>
      <w:r>
        <w:t xml:space="preserve"> The term water management covers both the implementation of activities and broader, strategic planning</w:t>
      </w:r>
      <w:r>
        <w:rPr>
          <w:rFonts w:ascii="Verdana" w:hAnsi="Verdana"/>
          <w:sz w:val="16"/>
        </w:rPr>
        <w:t xml:space="preserve"> in relation to water systems, water quality and preventing or combating drought and flooding.</w:t>
      </w:r>
    </w:p>
  </w:footnote>
  <w:footnote w:id="8">
    <w:p w14:paraId="67D5861B" w14:textId="77777777" w:rsidR="00862302" w:rsidRPr="00A72304" w:rsidRDefault="00862302" w:rsidP="00862302">
      <w:pPr>
        <w:pStyle w:val="Voetnoottekst"/>
        <w:rPr>
          <w:rFonts w:ascii="Verdana" w:hAnsi="Verdana"/>
          <w:sz w:val="16"/>
          <w:szCs w:val="16"/>
        </w:rPr>
      </w:pPr>
      <w:r>
        <w:rPr>
          <w:rStyle w:val="Voetnootmarkering"/>
          <w:rFonts w:ascii="Verdana" w:hAnsi="Verdana"/>
          <w:sz w:val="16"/>
          <w:szCs w:val="16"/>
        </w:rPr>
        <w:footnoteRef/>
      </w:r>
      <w:r>
        <w:t xml:space="preserve"> www.oecdguidelines.nl</w:t>
      </w:r>
      <w:r>
        <w:rPr>
          <w:rFonts w:ascii="Verdana" w:hAnsi="Verdana"/>
          <w:sz w:val="16"/>
        </w:rPr>
        <w:t>.</w:t>
      </w:r>
    </w:p>
  </w:footnote>
  <w:footnote w:id="9">
    <w:p w14:paraId="05869693" w14:textId="77777777" w:rsidR="00C8026D" w:rsidRPr="003C6B8E" w:rsidRDefault="00C8026D">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See also article 4 of the</w:t>
      </w:r>
      <w:r w:rsidRPr="00343883">
        <w:rPr>
          <w:rFonts w:ascii="Verdana" w:hAnsi="Verdana"/>
          <w:sz w:val="16"/>
        </w:rPr>
        <w:t xml:space="preserve"> Ministry of Foreign Affairs Grants Decree</w:t>
      </w:r>
      <w:r>
        <w:rPr>
          <w:rFonts w:ascii="Verdana" w:hAnsi="Verdana"/>
          <w:sz w:val="16"/>
        </w:rPr>
        <w:t>.</w:t>
      </w:r>
    </w:p>
  </w:footnote>
  <w:footnote w:id="10">
    <w:p w14:paraId="174B3F66" w14:textId="77777777" w:rsidR="00651F7D" w:rsidRPr="003C6B8E" w:rsidRDefault="00651F7D">
      <w:pPr>
        <w:pStyle w:val="Voetnoottekst"/>
      </w:pPr>
      <w:r>
        <w:rPr>
          <w:rStyle w:val="Voetnootmarkering"/>
          <w:rFonts w:ascii="Verdana" w:hAnsi="Verdana"/>
          <w:sz w:val="16"/>
          <w:szCs w:val="16"/>
        </w:rPr>
        <w:footnoteRef/>
      </w:r>
      <w:r>
        <w:rPr>
          <w:rFonts w:ascii="Verdana" w:hAnsi="Verdana"/>
          <w:sz w:val="16"/>
        </w:rPr>
        <w:t xml:space="preserve"> An organisation’s total annual income is the sum of all money received in a calendar year.</w:t>
      </w:r>
    </w:p>
  </w:footnote>
  <w:footnote w:id="11">
    <w:p w14:paraId="3CCBF629" w14:textId="6BEA11E2" w:rsidR="005F50D0" w:rsidRPr="00AB2AEA" w:rsidRDefault="005F50D0">
      <w:pPr>
        <w:pStyle w:val="Voetnoottekst"/>
        <w:rPr>
          <w:rFonts w:ascii="Verdana" w:hAnsi="Verdana"/>
          <w:sz w:val="16"/>
          <w:szCs w:val="16"/>
        </w:rPr>
      </w:pPr>
      <w:r w:rsidRPr="00A01021">
        <w:rPr>
          <w:rStyle w:val="Voetnootmarkering"/>
          <w:rFonts w:ascii="Verdana" w:hAnsi="Verdana"/>
          <w:sz w:val="16"/>
          <w:szCs w:val="16"/>
        </w:rPr>
        <w:footnoteRef/>
      </w:r>
      <w:r w:rsidRPr="00A01021">
        <w:rPr>
          <w:rFonts w:ascii="Verdana" w:hAnsi="Verdana"/>
          <w:sz w:val="16"/>
        </w:rPr>
        <w:t xml:space="preserve"> https://www.rvo.nl/subsidies-financiering/</w:t>
      </w:r>
      <w:r w:rsidR="00A2078B" w:rsidRPr="00A01021">
        <w:rPr>
          <w:rFonts w:ascii="Verdana" w:hAnsi="Verdana"/>
          <w:sz w:val="16"/>
        </w:rPr>
        <w:t>ddp</w:t>
      </w:r>
    </w:p>
  </w:footnote>
  <w:footnote w:id="12">
    <w:p w14:paraId="77AF4F05" w14:textId="77777777" w:rsidR="00252167" w:rsidRPr="00047A42" w:rsidRDefault="00252167" w:rsidP="00252167">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https://international-partnerships.ec.europa.eu/lobito-corridor-building-future-together_en</w:t>
      </w:r>
    </w:p>
  </w:footnote>
  <w:footnote w:id="13">
    <w:p w14:paraId="1B7761A3" w14:textId="77777777" w:rsidR="00FF1DCC" w:rsidRPr="00343883" w:rsidRDefault="00FF1DCC">
      <w:pPr>
        <w:pStyle w:val="Voetnoottekst"/>
        <w:rPr>
          <w:rFonts w:ascii="Verdana" w:hAnsi="Verdana"/>
          <w:sz w:val="16"/>
          <w:szCs w:val="16"/>
        </w:rPr>
      </w:pPr>
      <w:r>
        <w:rPr>
          <w:rStyle w:val="Voetnootmarkering"/>
          <w:rFonts w:ascii="Verdana" w:hAnsi="Verdana"/>
          <w:sz w:val="16"/>
          <w:szCs w:val="16"/>
        </w:rPr>
        <w:footnoteRef/>
      </w:r>
      <w:r>
        <w:t xml:space="preserve"> </w:t>
      </w:r>
      <w:r w:rsidRPr="00343883">
        <w:rPr>
          <w:rFonts w:ascii="Verdana" w:hAnsi="Verdana"/>
          <w:sz w:val="16"/>
          <w:szCs w:val="16"/>
        </w:rPr>
        <w:t>Property or equipment that is not intended for sale and that an organisation uses for its business operations for more than one year.</w:t>
      </w:r>
    </w:p>
  </w:footnote>
  <w:footnote w:id="14">
    <w:p w14:paraId="4DE97691" w14:textId="77777777" w:rsidR="00AC569F" w:rsidRPr="0083058C" w:rsidRDefault="00AC569F" w:rsidP="283477C2">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See also article 14 of the Ministry of Foreign Affairs Grants Decree.</w:t>
      </w:r>
    </w:p>
  </w:footnote>
  <w:footnote w:id="15">
    <w:p w14:paraId="1076760A" w14:textId="77777777" w:rsidR="0083058C" w:rsidRPr="00D400EC" w:rsidRDefault="0083058C">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https://www.rvo.nl/onderwerpen/subsidiespelregels/ez/iks</w:t>
      </w:r>
    </w:p>
  </w:footnote>
  <w:footnote w:id="16">
    <w:p w14:paraId="2B9B1D8C" w14:textId="77777777" w:rsidR="007F32FC" w:rsidRDefault="007F32FC">
      <w:pPr>
        <w:pStyle w:val="Voetnoottekst"/>
      </w:pPr>
      <w:r>
        <w:rPr>
          <w:rStyle w:val="Voetnootmarkering"/>
          <w:rFonts w:ascii="Verdana" w:hAnsi="Verdana"/>
          <w:sz w:val="16"/>
          <w:szCs w:val="16"/>
        </w:rPr>
        <w:footnoteRef/>
      </w:r>
      <w:r>
        <w:t xml:space="preserve"> </w:t>
      </w:r>
      <w:r>
        <w:rPr>
          <w:rFonts w:ascii="Verdana" w:hAnsi="Verdana"/>
          <w:sz w:val="16"/>
        </w:rPr>
        <w:t>https://www.sso3w.nl/travelpoint/algemeen/tarieflijsten-verblijfkosten</w:t>
      </w:r>
    </w:p>
  </w:footnote>
  <w:footnote w:id="17">
    <w:p w14:paraId="78C95B5F" w14:textId="77777777" w:rsidR="00890B00" w:rsidRPr="00890B00" w:rsidRDefault="00890B00">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https://www.fmo.nl/policies-and-position-statements</w:t>
      </w:r>
    </w:p>
  </w:footnote>
  <w:footnote w:id="18">
    <w:p w14:paraId="5898C603" w14:textId="2BD07EE7" w:rsidR="00FE7822" w:rsidRPr="00FE7822" w:rsidRDefault="00FE7822">
      <w:pPr>
        <w:pStyle w:val="Voetnoottekst"/>
      </w:pPr>
      <w:r>
        <w:rPr>
          <w:rStyle w:val="Voetnootmarkering"/>
        </w:rPr>
        <w:footnoteRef/>
      </w:r>
      <w:r>
        <w:t xml:space="preserve"> </w:t>
      </w:r>
      <w:r w:rsidRPr="00FE7822">
        <w:t>https://mvorisicochecker.nl/en</w:t>
      </w:r>
    </w:p>
  </w:footnote>
  <w:footnote w:id="19">
    <w:p w14:paraId="5FC351B5" w14:textId="17F16AD6" w:rsidR="00236019" w:rsidRPr="003030A0" w:rsidRDefault="00236019">
      <w:pPr>
        <w:pStyle w:val="Voetnoottekst"/>
        <w:rPr>
          <w:rFonts w:ascii="Verdana" w:hAnsi="Verdana"/>
          <w:sz w:val="16"/>
          <w:szCs w:val="16"/>
        </w:rPr>
      </w:pPr>
      <w:r>
        <w:rPr>
          <w:rStyle w:val="Voetnootmarkering"/>
          <w:rFonts w:ascii="Verdana" w:hAnsi="Verdana"/>
          <w:sz w:val="16"/>
          <w:szCs w:val="16"/>
        </w:rPr>
        <w:footnoteRef/>
      </w:r>
      <w:r>
        <w:t xml:space="preserve"> </w:t>
      </w:r>
      <w:r w:rsidRPr="00BA1626">
        <w:rPr>
          <w:rFonts w:ascii="Verdana" w:hAnsi="Verdana"/>
          <w:sz w:val="16"/>
          <w:szCs w:val="16"/>
        </w:rPr>
        <w:t>For details, see (i) the partner country government’s website, (ii) “Policy Letter – Foreign Affairs 2026” (Parliamentary Paper, House of Representatives 2025-2026, 36800, 24 April 2026), and (iii) the relevant embassy’s website.</w:t>
      </w:r>
    </w:p>
  </w:footnote>
  <w:footnote w:id="20">
    <w:p w14:paraId="632272E1" w14:textId="77777777" w:rsidR="0016377E" w:rsidRPr="00BA1626" w:rsidRDefault="0016377E">
      <w:pPr>
        <w:pStyle w:val="Voetnoottekst"/>
        <w:rPr>
          <w:rFonts w:ascii="Verdana" w:hAnsi="Verdana"/>
          <w:sz w:val="16"/>
          <w:szCs w:val="16"/>
        </w:rPr>
      </w:pPr>
      <w:r>
        <w:rPr>
          <w:rStyle w:val="Voetnootmarkering"/>
          <w:rFonts w:ascii="Verdana" w:hAnsi="Verdana"/>
          <w:sz w:val="16"/>
          <w:szCs w:val="16"/>
        </w:rPr>
        <w:footnoteRef/>
      </w:r>
      <w:r>
        <w:t xml:space="preserve"> </w:t>
      </w:r>
      <w:r w:rsidRPr="00BA1626">
        <w:rPr>
          <w:rFonts w:ascii="Verdana" w:hAnsi="Verdana"/>
          <w:sz w:val="16"/>
          <w:szCs w:val="16"/>
        </w:rPr>
        <w:t>Grant funding always causes a certain degree of market distortion. The purpose of this criterion is to ensure this distortion is not greater than necessary.</w:t>
      </w:r>
    </w:p>
  </w:footnote>
  <w:footnote w:id="21">
    <w:p w14:paraId="3B9E11AF" w14:textId="77777777" w:rsidR="0007373E" w:rsidRPr="00D70183" w:rsidRDefault="0007373E">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rPr>
        <w:t xml:space="preserve"> https://projects.rvo.nl/iati-portals/</w:t>
      </w:r>
    </w:p>
  </w:footnote>
  <w:footnote w:id="22">
    <w:p w14:paraId="3A192849" w14:textId="77777777" w:rsidR="005933B9" w:rsidRPr="00D70183" w:rsidRDefault="005933B9" w:rsidP="283477C2">
      <w:pPr>
        <w:spacing w:after="0" w:line="240" w:lineRule="auto"/>
        <w:rPr>
          <w:rFonts w:ascii="Verdana" w:hAnsi="Verdana"/>
          <w:sz w:val="16"/>
          <w:szCs w:val="16"/>
        </w:rPr>
      </w:pPr>
      <w:r>
        <w:rPr>
          <w:rStyle w:val="Voetnootmarkering"/>
          <w:rFonts w:ascii="Verdana" w:hAnsi="Verdana"/>
          <w:sz w:val="16"/>
          <w:szCs w:val="16"/>
        </w:rPr>
        <w:footnoteRef/>
      </w:r>
      <w:r>
        <w:t xml:space="preserve"> </w:t>
      </w:r>
      <w:r>
        <w:rPr>
          <w:rFonts w:ascii="Verdana" w:hAnsi="Verdana"/>
          <w:sz w:val="16"/>
        </w:rPr>
        <w:t>Any form of labour that the International Labour Organization seeks to prevent with the Forced Labour Convention, 1930 (no. 29), the Abolition of Forced Labour Convention, 1957 (no. 105) or the Minimum Age Convention, 1973 (no. 138).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7DC"/>
    <w:multiLevelType w:val="hybridMultilevel"/>
    <w:tmpl w:val="615A1F80"/>
    <w:lvl w:ilvl="0" w:tplc="04130001">
      <w:start w:val="1"/>
      <w:numFmt w:val="bullet"/>
      <w:lvlText w:val=""/>
      <w:lvlJc w:val="left"/>
      <w:pPr>
        <w:ind w:left="360" w:hanging="360"/>
      </w:pPr>
      <w:rPr>
        <w:rFonts w:ascii="Symbol" w:hAnsi="Symbol" w:hint="default"/>
        <w:sz w:val="18"/>
        <w:szCs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AF5654"/>
    <w:multiLevelType w:val="hybridMultilevel"/>
    <w:tmpl w:val="FECA4634"/>
    <w:lvl w:ilvl="0" w:tplc="59E655E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842C78"/>
    <w:multiLevelType w:val="hybridMultilevel"/>
    <w:tmpl w:val="066A818A"/>
    <w:lvl w:ilvl="0" w:tplc="BF7A201A">
      <w:start w:val="1"/>
      <w:numFmt w:val="decimal"/>
      <w:lvlText w:val="%1."/>
      <w:lvlJc w:val="left"/>
      <w:pPr>
        <w:ind w:left="720" w:hanging="360"/>
      </w:pPr>
      <w:rPr>
        <w:rFonts w:asciiTheme="minorHAnsi" w:hAnsiTheme="minorHAnsi" w:cstheme="minorBid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60650C"/>
    <w:multiLevelType w:val="multilevel"/>
    <w:tmpl w:val="E96C5906"/>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5AB62F5"/>
    <w:multiLevelType w:val="hybridMultilevel"/>
    <w:tmpl w:val="06CAF704"/>
    <w:lvl w:ilvl="0" w:tplc="F530D6BC">
      <w:start w:val="1"/>
      <w:numFmt w:val="lowerLetter"/>
      <w:lvlText w:val="%1."/>
      <w:lvlJc w:val="left"/>
      <w:pPr>
        <w:ind w:left="360" w:hanging="360"/>
      </w:pPr>
      <w:rPr>
        <w:rFonts w:ascii="Verdana" w:hAnsi="Verdana" w:hint="default"/>
        <w:sz w:val="18"/>
        <w:szCs w:val="18"/>
      </w:rPr>
    </w:lvl>
    <w:lvl w:ilvl="1" w:tplc="04130019">
      <w:start w:val="1"/>
      <w:numFmt w:val="lowerLetter"/>
      <w:lvlText w:val="%2."/>
      <w:lvlJc w:val="left"/>
      <w:pPr>
        <w:ind w:left="1080" w:hanging="360"/>
      </w:pPr>
    </w:lvl>
    <w:lvl w:ilvl="2" w:tplc="C024C146">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FE14D7"/>
    <w:multiLevelType w:val="hybridMultilevel"/>
    <w:tmpl w:val="5FA81B92"/>
    <w:lvl w:ilvl="0" w:tplc="2390CC8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214218"/>
    <w:multiLevelType w:val="hybridMultilevel"/>
    <w:tmpl w:val="C5B8BBE0"/>
    <w:lvl w:ilvl="0" w:tplc="1D8E4C50">
      <w:start w:val="1"/>
      <w:numFmt w:val="lowerLetter"/>
      <w:lvlText w:val="%1."/>
      <w:lvlJc w:val="left"/>
      <w:pPr>
        <w:ind w:left="360" w:hanging="360"/>
      </w:pPr>
      <w:rPr>
        <w:rFonts w:ascii="Verdana" w:hAnsi="Verdana"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7C04F7"/>
    <w:multiLevelType w:val="hybridMultilevel"/>
    <w:tmpl w:val="3A0EA74A"/>
    <w:lvl w:ilvl="0" w:tplc="44B64F5A">
      <w:start w:val="1"/>
      <w:numFmt w:val="bullet"/>
      <w:lvlText w:val=""/>
      <w:lvlJc w:val="left"/>
      <w:pPr>
        <w:ind w:left="1020" w:hanging="360"/>
      </w:pPr>
      <w:rPr>
        <w:rFonts w:ascii="Symbol" w:hAnsi="Symbol"/>
      </w:rPr>
    </w:lvl>
    <w:lvl w:ilvl="1" w:tplc="ABCA1314">
      <w:start w:val="1"/>
      <w:numFmt w:val="bullet"/>
      <w:lvlText w:val=""/>
      <w:lvlJc w:val="left"/>
      <w:pPr>
        <w:ind w:left="1020" w:hanging="360"/>
      </w:pPr>
      <w:rPr>
        <w:rFonts w:ascii="Symbol" w:hAnsi="Symbol"/>
      </w:rPr>
    </w:lvl>
    <w:lvl w:ilvl="2" w:tplc="3F807FE4">
      <w:start w:val="1"/>
      <w:numFmt w:val="bullet"/>
      <w:lvlText w:val=""/>
      <w:lvlJc w:val="left"/>
      <w:pPr>
        <w:ind w:left="1020" w:hanging="360"/>
      </w:pPr>
      <w:rPr>
        <w:rFonts w:ascii="Symbol" w:hAnsi="Symbol"/>
      </w:rPr>
    </w:lvl>
    <w:lvl w:ilvl="3" w:tplc="D424F66A">
      <w:start w:val="1"/>
      <w:numFmt w:val="bullet"/>
      <w:lvlText w:val=""/>
      <w:lvlJc w:val="left"/>
      <w:pPr>
        <w:ind w:left="1020" w:hanging="360"/>
      </w:pPr>
      <w:rPr>
        <w:rFonts w:ascii="Symbol" w:hAnsi="Symbol"/>
      </w:rPr>
    </w:lvl>
    <w:lvl w:ilvl="4" w:tplc="CB7E2C62">
      <w:start w:val="1"/>
      <w:numFmt w:val="bullet"/>
      <w:lvlText w:val=""/>
      <w:lvlJc w:val="left"/>
      <w:pPr>
        <w:ind w:left="1020" w:hanging="360"/>
      </w:pPr>
      <w:rPr>
        <w:rFonts w:ascii="Symbol" w:hAnsi="Symbol"/>
      </w:rPr>
    </w:lvl>
    <w:lvl w:ilvl="5" w:tplc="1B46BFD2">
      <w:start w:val="1"/>
      <w:numFmt w:val="bullet"/>
      <w:lvlText w:val=""/>
      <w:lvlJc w:val="left"/>
      <w:pPr>
        <w:ind w:left="1020" w:hanging="360"/>
      </w:pPr>
      <w:rPr>
        <w:rFonts w:ascii="Symbol" w:hAnsi="Symbol"/>
      </w:rPr>
    </w:lvl>
    <w:lvl w:ilvl="6" w:tplc="846EE6A0">
      <w:start w:val="1"/>
      <w:numFmt w:val="bullet"/>
      <w:lvlText w:val=""/>
      <w:lvlJc w:val="left"/>
      <w:pPr>
        <w:ind w:left="1020" w:hanging="360"/>
      </w:pPr>
      <w:rPr>
        <w:rFonts w:ascii="Symbol" w:hAnsi="Symbol"/>
      </w:rPr>
    </w:lvl>
    <w:lvl w:ilvl="7" w:tplc="44D05F4E">
      <w:start w:val="1"/>
      <w:numFmt w:val="bullet"/>
      <w:lvlText w:val=""/>
      <w:lvlJc w:val="left"/>
      <w:pPr>
        <w:ind w:left="1020" w:hanging="360"/>
      </w:pPr>
      <w:rPr>
        <w:rFonts w:ascii="Symbol" w:hAnsi="Symbol"/>
      </w:rPr>
    </w:lvl>
    <w:lvl w:ilvl="8" w:tplc="AB72D59C">
      <w:start w:val="1"/>
      <w:numFmt w:val="bullet"/>
      <w:lvlText w:val=""/>
      <w:lvlJc w:val="left"/>
      <w:pPr>
        <w:ind w:left="1020" w:hanging="360"/>
      </w:pPr>
      <w:rPr>
        <w:rFonts w:ascii="Symbol" w:hAnsi="Symbol"/>
      </w:rPr>
    </w:lvl>
  </w:abstractNum>
  <w:abstractNum w:abstractNumId="8" w15:restartNumberingAfterBreak="0">
    <w:nsid w:val="20577458"/>
    <w:multiLevelType w:val="hybridMultilevel"/>
    <w:tmpl w:val="61380DFE"/>
    <w:lvl w:ilvl="0" w:tplc="73A28D58">
      <w:start w:val="3"/>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58375B"/>
    <w:multiLevelType w:val="hybridMultilevel"/>
    <w:tmpl w:val="9F40E8C8"/>
    <w:lvl w:ilvl="0" w:tplc="FFFFFFFF">
      <w:start w:val="4"/>
      <w:numFmt w:val="bullet"/>
      <w:lvlText w:val="-"/>
      <w:lvlJc w:val="left"/>
      <w:pPr>
        <w:ind w:left="360" w:hanging="360"/>
      </w:pPr>
      <w:rPr>
        <w:rFonts w:ascii="Verdana" w:hAnsi="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6953D6"/>
    <w:multiLevelType w:val="multilevel"/>
    <w:tmpl w:val="FB7C74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7E5428F"/>
    <w:multiLevelType w:val="hybridMultilevel"/>
    <w:tmpl w:val="4A8440AC"/>
    <w:lvl w:ilvl="0" w:tplc="C4743422">
      <w:start w:val="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A02535"/>
    <w:multiLevelType w:val="hybridMultilevel"/>
    <w:tmpl w:val="255EF74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8E37E0"/>
    <w:multiLevelType w:val="hybridMultilevel"/>
    <w:tmpl w:val="ABDCACB8"/>
    <w:lvl w:ilvl="0" w:tplc="C4743422">
      <w:start w:val="4"/>
      <w:numFmt w:val="bullet"/>
      <w:lvlText w:val="-"/>
      <w:lvlJc w:val="left"/>
      <w:pPr>
        <w:ind w:left="360" w:hanging="360"/>
      </w:pPr>
      <w:rPr>
        <w:rFonts w:ascii="Verdana" w:eastAsiaTheme="minorHAnsi" w:hAnsi="Verdana" w:cstheme="minorBidi" w:hint="default"/>
      </w:rPr>
    </w:lvl>
    <w:lvl w:ilvl="1" w:tplc="9FB09A9E">
      <w:numFmt w:val="bullet"/>
      <w:lvlText w:val="•"/>
      <w:lvlJc w:val="left"/>
      <w:pPr>
        <w:ind w:left="1425" w:hanging="705"/>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F4C2252"/>
    <w:multiLevelType w:val="hybridMultilevel"/>
    <w:tmpl w:val="8F0C4E76"/>
    <w:lvl w:ilvl="0" w:tplc="FFFFFFFF">
      <w:start w:val="4"/>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3132110"/>
    <w:multiLevelType w:val="hybridMultilevel"/>
    <w:tmpl w:val="4BBA9804"/>
    <w:lvl w:ilvl="0" w:tplc="4D0C291A">
      <w:start w:val="1"/>
      <w:numFmt w:val="bullet"/>
      <w:lvlText w:val=""/>
      <w:lvlJc w:val="left"/>
      <w:pPr>
        <w:ind w:left="1020" w:hanging="360"/>
      </w:pPr>
      <w:rPr>
        <w:rFonts w:ascii="Symbol" w:hAnsi="Symbol"/>
      </w:rPr>
    </w:lvl>
    <w:lvl w:ilvl="1" w:tplc="2F2C14D2">
      <w:start w:val="1"/>
      <w:numFmt w:val="bullet"/>
      <w:lvlText w:val=""/>
      <w:lvlJc w:val="left"/>
      <w:pPr>
        <w:ind w:left="1020" w:hanging="360"/>
      </w:pPr>
      <w:rPr>
        <w:rFonts w:ascii="Symbol" w:hAnsi="Symbol"/>
      </w:rPr>
    </w:lvl>
    <w:lvl w:ilvl="2" w:tplc="026C5F7C">
      <w:start w:val="1"/>
      <w:numFmt w:val="bullet"/>
      <w:lvlText w:val=""/>
      <w:lvlJc w:val="left"/>
      <w:pPr>
        <w:ind w:left="1020" w:hanging="360"/>
      </w:pPr>
      <w:rPr>
        <w:rFonts w:ascii="Symbol" w:hAnsi="Symbol"/>
      </w:rPr>
    </w:lvl>
    <w:lvl w:ilvl="3" w:tplc="821CFC22">
      <w:start w:val="1"/>
      <w:numFmt w:val="bullet"/>
      <w:lvlText w:val=""/>
      <w:lvlJc w:val="left"/>
      <w:pPr>
        <w:ind w:left="1020" w:hanging="360"/>
      </w:pPr>
      <w:rPr>
        <w:rFonts w:ascii="Symbol" w:hAnsi="Symbol"/>
      </w:rPr>
    </w:lvl>
    <w:lvl w:ilvl="4" w:tplc="2A5A1002">
      <w:start w:val="1"/>
      <w:numFmt w:val="bullet"/>
      <w:lvlText w:val=""/>
      <w:lvlJc w:val="left"/>
      <w:pPr>
        <w:ind w:left="1020" w:hanging="360"/>
      </w:pPr>
      <w:rPr>
        <w:rFonts w:ascii="Symbol" w:hAnsi="Symbol"/>
      </w:rPr>
    </w:lvl>
    <w:lvl w:ilvl="5" w:tplc="8282569E">
      <w:start w:val="1"/>
      <w:numFmt w:val="bullet"/>
      <w:lvlText w:val=""/>
      <w:lvlJc w:val="left"/>
      <w:pPr>
        <w:ind w:left="1020" w:hanging="360"/>
      </w:pPr>
      <w:rPr>
        <w:rFonts w:ascii="Symbol" w:hAnsi="Symbol"/>
      </w:rPr>
    </w:lvl>
    <w:lvl w:ilvl="6" w:tplc="4D9A7EA8">
      <w:start w:val="1"/>
      <w:numFmt w:val="bullet"/>
      <w:lvlText w:val=""/>
      <w:lvlJc w:val="left"/>
      <w:pPr>
        <w:ind w:left="1020" w:hanging="360"/>
      </w:pPr>
      <w:rPr>
        <w:rFonts w:ascii="Symbol" w:hAnsi="Symbol"/>
      </w:rPr>
    </w:lvl>
    <w:lvl w:ilvl="7" w:tplc="6E6EDE80">
      <w:start w:val="1"/>
      <w:numFmt w:val="bullet"/>
      <w:lvlText w:val=""/>
      <w:lvlJc w:val="left"/>
      <w:pPr>
        <w:ind w:left="1020" w:hanging="360"/>
      </w:pPr>
      <w:rPr>
        <w:rFonts w:ascii="Symbol" w:hAnsi="Symbol"/>
      </w:rPr>
    </w:lvl>
    <w:lvl w:ilvl="8" w:tplc="78AAA032">
      <w:start w:val="1"/>
      <w:numFmt w:val="bullet"/>
      <w:lvlText w:val=""/>
      <w:lvlJc w:val="left"/>
      <w:pPr>
        <w:ind w:left="1020" w:hanging="360"/>
      </w:pPr>
      <w:rPr>
        <w:rFonts w:ascii="Symbol" w:hAnsi="Symbol"/>
      </w:rPr>
    </w:lvl>
  </w:abstractNum>
  <w:abstractNum w:abstractNumId="16" w15:restartNumberingAfterBreak="0">
    <w:nsid w:val="36BF6FA7"/>
    <w:multiLevelType w:val="hybridMultilevel"/>
    <w:tmpl w:val="4E6AD078"/>
    <w:lvl w:ilvl="0" w:tplc="B5D093AC">
      <w:numFmt w:val="bullet"/>
      <w:lvlText w:val="-"/>
      <w:lvlJc w:val="left"/>
      <w:pPr>
        <w:ind w:left="360" w:hanging="360"/>
      </w:pPr>
      <w:rPr>
        <w:rFonts w:ascii="Calibri" w:eastAsiaTheme="minorHAnsi" w:hAnsi="Calibri" w:cs="Calibri" w:hint="default"/>
        <w:sz w:val="18"/>
        <w:szCs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7686112"/>
    <w:multiLevelType w:val="hybridMultilevel"/>
    <w:tmpl w:val="579A22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CFD6509"/>
    <w:multiLevelType w:val="hybridMultilevel"/>
    <w:tmpl w:val="A4967A42"/>
    <w:lvl w:ilvl="0" w:tplc="C4743422">
      <w:start w:val="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02725F"/>
    <w:multiLevelType w:val="hybridMultilevel"/>
    <w:tmpl w:val="D6C83CBA"/>
    <w:lvl w:ilvl="0" w:tplc="FFFFFFFF">
      <w:start w:val="4"/>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3037F83"/>
    <w:multiLevelType w:val="hybridMultilevel"/>
    <w:tmpl w:val="5FA81B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1D6D1D"/>
    <w:multiLevelType w:val="hybridMultilevel"/>
    <w:tmpl w:val="600C04AA"/>
    <w:lvl w:ilvl="0" w:tplc="5C9663E0">
      <w:start w:val="1"/>
      <w:numFmt w:val="bullet"/>
      <w:lvlText w:val=""/>
      <w:lvlJc w:val="left"/>
      <w:pPr>
        <w:ind w:left="720" w:hanging="360"/>
      </w:pPr>
      <w:rPr>
        <w:rFonts w:ascii="Symbol" w:hAnsi="Symbol"/>
      </w:rPr>
    </w:lvl>
    <w:lvl w:ilvl="1" w:tplc="192E50E0">
      <w:start w:val="1"/>
      <w:numFmt w:val="bullet"/>
      <w:lvlText w:val=""/>
      <w:lvlJc w:val="left"/>
      <w:pPr>
        <w:ind w:left="720" w:hanging="360"/>
      </w:pPr>
      <w:rPr>
        <w:rFonts w:ascii="Symbol" w:hAnsi="Symbol"/>
      </w:rPr>
    </w:lvl>
    <w:lvl w:ilvl="2" w:tplc="290E802C">
      <w:start w:val="1"/>
      <w:numFmt w:val="bullet"/>
      <w:lvlText w:val=""/>
      <w:lvlJc w:val="left"/>
      <w:pPr>
        <w:ind w:left="720" w:hanging="360"/>
      </w:pPr>
      <w:rPr>
        <w:rFonts w:ascii="Symbol" w:hAnsi="Symbol"/>
      </w:rPr>
    </w:lvl>
    <w:lvl w:ilvl="3" w:tplc="8C4220F2">
      <w:start w:val="1"/>
      <w:numFmt w:val="bullet"/>
      <w:lvlText w:val=""/>
      <w:lvlJc w:val="left"/>
      <w:pPr>
        <w:ind w:left="720" w:hanging="360"/>
      </w:pPr>
      <w:rPr>
        <w:rFonts w:ascii="Symbol" w:hAnsi="Symbol"/>
      </w:rPr>
    </w:lvl>
    <w:lvl w:ilvl="4" w:tplc="4E0227FE">
      <w:start w:val="1"/>
      <w:numFmt w:val="bullet"/>
      <w:lvlText w:val=""/>
      <w:lvlJc w:val="left"/>
      <w:pPr>
        <w:ind w:left="720" w:hanging="360"/>
      </w:pPr>
      <w:rPr>
        <w:rFonts w:ascii="Symbol" w:hAnsi="Symbol"/>
      </w:rPr>
    </w:lvl>
    <w:lvl w:ilvl="5" w:tplc="9E1C18C2">
      <w:start w:val="1"/>
      <w:numFmt w:val="bullet"/>
      <w:lvlText w:val=""/>
      <w:lvlJc w:val="left"/>
      <w:pPr>
        <w:ind w:left="720" w:hanging="360"/>
      </w:pPr>
      <w:rPr>
        <w:rFonts w:ascii="Symbol" w:hAnsi="Symbol"/>
      </w:rPr>
    </w:lvl>
    <w:lvl w:ilvl="6" w:tplc="44B43544">
      <w:start w:val="1"/>
      <w:numFmt w:val="bullet"/>
      <w:lvlText w:val=""/>
      <w:lvlJc w:val="left"/>
      <w:pPr>
        <w:ind w:left="720" w:hanging="360"/>
      </w:pPr>
      <w:rPr>
        <w:rFonts w:ascii="Symbol" w:hAnsi="Symbol"/>
      </w:rPr>
    </w:lvl>
    <w:lvl w:ilvl="7" w:tplc="E88E3BB2">
      <w:start w:val="1"/>
      <w:numFmt w:val="bullet"/>
      <w:lvlText w:val=""/>
      <w:lvlJc w:val="left"/>
      <w:pPr>
        <w:ind w:left="720" w:hanging="360"/>
      </w:pPr>
      <w:rPr>
        <w:rFonts w:ascii="Symbol" w:hAnsi="Symbol"/>
      </w:rPr>
    </w:lvl>
    <w:lvl w:ilvl="8" w:tplc="7124EB2C">
      <w:start w:val="1"/>
      <w:numFmt w:val="bullet"/>
      <w:lvlText w:val=""/>
      <w:lvlJc w:val="left"/>
      <w:pPr>
        <w:ind w:left="720" w:hanging="360"/>
      </w:pPr>
      <w:rPr>
        <w:rFonts w:ascii="Symbol" w:hAnsi="Symbol"/>
      </w:rPr>
    </w:lvl>
  </w:abstractNum>
  <w:abstractNum w:abstractNumId="22" w15:restartNumberingAfterBreak="0">
    <w:nsid w:val="49E9305D"/>
    <w:multiLevelType w:val="hybridMultilevel"/>
    <w:tmpl w:val="20166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604574"/>
    <w:multiLevelType w:val="hybridMultilevel"/>
    <w:tmpl w:val="43FC7202"/>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54E4E61"/>
    <w:multiLevelType w:val="hybridMultilevel"/>
    <w:tmpl w:val="96DC16DA"/>
    <w:lvl w:ilvl="0" w:tplc="0F907842">
      <w:start w:val="1"/>
      <w:numFmt w:val="lowerLetter"/>
      <w:lvlText w:val="%1."/>
      <w:lvlJc w:val="left"/>
      <w:pPr>
        <w:ind w:left="360" w:hanging="360"/>
      </w:pPr>
      <w:rPr>
        <w:rFonts w:ascii="Verdana" w:eastAsiaTheme="minorHAnsi" w:hAnsi="Verdana" w:cstheme="minorBid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951385B"/>
    <w:multiLevelType w:val="hybridMultilevel"/>
    <w:tmpl w:val="5284284C"/>
    <w:lvl w:ilvl="0" w:tplc="FFFFFFFF">
      <w:start w:val="4"/>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FB4840"/>
    <w:multiLevelType w:val="hybridMultilevel"/>
    <w:tmpl w:val="8C88DEE6"/>
    <w:lvl w:ilvl="0" w:tplc="2FA4F50C">
      <w:numFmt w:val="bullet"/>
      <w:lvlText w:val="-"/>
      <w:lvlJc w:val="left"/>
      <w:pPr>
        <w:ind w:left="420" w:hanging="360"/>
      </w:pPr>
      <w:rPr>
        <w:rFonts w:ascii="Verdana" w:eastAsiaTheme="minorHAnsi" w:hAnsi="Verdana" w:cstheme="minorBi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7" w15:restartNumberingAfterBreak="0">
    <w:nsid w:val="5C991656"/>
    <w:multiLevelType w:val="hybridMultilevel"/>
    <w:tmpl w:val="F328E95A"/>
    <w:lvl w:ilvl="0" w:tplc="0413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8001D9"/>
    <w:multiLevelType w:val="hybridMultilevel"/>
    <w:tmpl w:val="03FE7C44"/>
    <w:lvl w:ilvl="0" w:tplc="B698789C">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AC4704"/>
    <w:multiLevelType w:val="multilevel"/>
    <w:tmpl w:val="A7946740"/>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6698291F"/>
    <w:multiLevelType w:val="multilevel"/>
    <w:tmpl w:val="FE18696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68A25C76"/>
    <w:multiLevelType w:val="hybridMultilevel"/>
    <w:tmpl w:val="B922D546"/>
    <w:lvl w:ilvl="0" w:tplc="C4743422">
      <w:start w:val="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9AD6560"/>
    <w:multiLevelType w:val="hybridMultilevel"/>
    <w:tmpl w:val="C4EE877E"/>
    <w:lvl w:ilvl="0" w:tplc="71786CEE">
      <w:start w:val="1"/>
      <w:numFmt w:val="lowerLetter"/>
      <w:lvlText w:val="%1."/>
      <w:lvlJc w:val="left"/>
      <w:pPr>
        <w:ind w:left="360" w:hanging="360"/>
      </w:pPr>
      <w:rPr>
        <w:rFonts w:ascii="Verdana" w:hAnsi="Verdana" w:hint="default"/>
      </w:rPr>
    </w:lvl>
    <w:lvl w:ilvl="1" w:tplc="00DEC23C">
      <w:numFmt w:val="bullet"/>
      <w:lvlText w:val="•"/>
      <w:lvlJc w:val="left"/>
      <w:pPr>
        <w:ind w:left="1425" w:hanging="705"/>
      </w:pPr>
      <w:rPr>
        <w:rFonts w:ascii="Verdana" w:eastAsia="Verdana" w:hAnsi="Verdana" w:cs="Verdana"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B2D7910"/>
    <w:multiLevelType w:val="hybridMultilevel"/>
    <w:tmpl w:val="7132F004"/>
    <w:lvl w:ilvl="0" w:tplc="7EB43A46">
      <w:start w:val="1"/>
      <w:numFmt w:val="bullet"/>
      <w:lvlText w:val=""/>
      <w:lvlJc w:val="left"/>
      <w:pPr>
        <w:ind w:left="720" w:hanging="360"/>
      </w:pPr>
      <w:rPr>
        <w:rFonts w:ascii="Symbol" w:hAnsi="Symbol"/>
      </w:rPr>
    </w:lvl>
    <w:lvl w:ilvl="1" w:tplc="F4E248CC">
      <w:start w:val="1"/>
      <w:numFmt w:val="bullet"/>
      <w:lvlText w:val=""/>
      <w:lvlJc w:val="left"/>
      <w:pPr>
        <w:ind w:left="720" w:hanging="360"/>
      </w:pPr>
      <w:rPr>
        <w:rFonts w:ascii="Symbol" w:hAnsi="Symbol"/>
      </w:rPr>
    </w:lvl>
    <w:lvl w:ilvl="2" w:tplc="2806C1E8">
      <w:start w:val="1"/>
      <w:numFmt w:val="bullet"/>
      <w:lvlText w:val=""/>
      <w:lvlJc w:val="left"/>
      <w:pPr>
        <w:ind w:left="720" w:hanging="360"/>
      </w:pPr>
      <w:rPr>
        <w:rFonts w:ascii="Symbol" w:hAnsi="Symbol"/>
      </w:rPr>
    </w:lvl>
    <w:lvl w:ilvl="3" w:tplc="98B6E292">
      <w:start w:val="1"/>
      <w:numFmt w:val="bullet"/>
      <w:lvlText w:val=""/>
      <w:lvlJc w:val="left"/>
      <w:pPr>
        <w:ind w:left="720" w:hanging="360"/>
      </w:pPr>
      <w:rPr>
        <w:rFonts w:ascii="Symbol" w:hAnsi="Symbol"/>
      </w:rPr>
    </w:lvl>
    <w:lvl w:ilvl="4" w:tplc="9FE243DC">
      <w:start w:val="1"/>
      <w:numFmt w:val="bullet"/>
      <w:lvlText w:val=""/>
      <w:lvlJc w:val="left"/>
      <w:pPr>
        <w:ind w:left="720" w:hanging="360"/>
      </w:pPr>
      <w:rPr>
        <w:rFonts w:ascii="Symbol" w:hAnsi="Symbol"/>
      </w:rPr>
    </w:lvl>
    <w:lvl w:ilvl="5" w:tplc="CCC40628">
      <w:start w:val="1"/>
      <w:numFmt w:val="bullet"/>
      <w:lvlText w:val=""/>
      <w:lvlJc w:val="left"/>
      <w:pPr>
        <w:ind w:left="720" w:hanging="360"/>
      </w:pPr>
      <w:rPr>
        <w:rFonts w:ascii="Symbol" w:hAnsi="Symbol"/>
      </w:rPr>
    </w:lvl>
    <w:lvl w:ilvl="6" w:tplc="9D3EEA38">
      <w:start w:val="1"/>
      <w:numFmt w:val="bullet"/>
      <w:lvlText w:val=""/>
      <w:lvlJc w:val="left"/>
      <w:pPr>
        <w:ind w:left="720" w:hanging="360"/>
      </w:pPr>
      <w:rPr>
        <w:rFonts w:ascii="Symbol" w:hAnsi="Symbol"/>
      </w:rPr>
    </w:lvl>
    <w:lvl w:ilvl="7" w:tplc="1AE0585A">
      <w:start w:val="1"/>
      <w:numFmt w:val="bullet"/>
      <w:lvlText w:val=""/>
      <w:lvlJc w:val="left"/>
      <w:pPr>
        <w:ind w:left="720" w:hanging="360"/>
      </w:pPr>
      <w:rPr>
        <w:rFonts w:ascii="Symbol" w:hAnsi="Symbol"/>
      </w:rPr>
    </w:lvl>
    <w:lvl w:ilvl="8" w:tplc="01FA0B52">
      <w:start w:val="1"/>
      <w:numFmt w:val="bullet"/>
      <w:lvlText w:val=""/>
      <w:lvlJc w:val="left"/>
      <w:pPr>
        <w:ind w:left="720" w:hanging="360"/>
      </w:pPr>
      <w:rPr>
        <w:rFonts w:ascii="Symbol" w:hAnsi="Symbol"/>
      </w:rPr>
    </w:lvl>
  </w:abstractNum>
  <w:abstractNum w:abstractNumId="34" w15:restartNumberingAfterBreak="0">
    <w:nsid w:val="6CAC48C2"/>
    <w:multiLevelType w:val="hybridMultilevel"/>
    <w:tmpl w:val="EA64A1BC"/>
    <w:lvl w:ilvl="0" w:tplc="2CE0F11E">
      <w:start w:val="1"/>
      <w:numFmt w:val="decimal"/>
      <w:lvlText w:val="%1)"/>
      <w:lvlJc w:val="left"/>
      <w:pPr>
        <w:ind w:left="1020" w:hanging="360"/>
      </w:pPr>
    </w:lvl>
    <w:lvl w:ilvl="1" w:tplc="D3064686">
      <w:start w:val="1"/>
      <w:numFmt w:val="decimal"/>
      <w:lvlText w:val="%2)"/>
      <w:lvlJc w:val="left"/>
      <w:pPr>
        <w:ind w:left="1020" w:hanging="360"/>
      </w:pPr>
    </w:lvl>
    <w:lvl w:ilvl="2" w:tplc="F30E0D9A">
      <w:start w:val="1"/>
      <w:numFmt w:val="decimal"/>
      <w:lvlText w:val="%3)"/>
      <w:lvlJc w:val="left"/>
      <w:pPr>
        <w:ind w:left="1020" w:hanging="360"/>
      </w:pPr>
    </w:lvl>
    <w:lvl w:ilvl="3" w:tplc="31446C30">
      <w:start w:val="1"/>
      <w:numFmt w:val="decimal"/>
      <w:lvlText w:val="%4)"/>
      <w:lvlJc w:val="left"/>
      <w:pPr>
        <w:ind w:left="1020" w:hanging="360"/>
      </w:pPr>
    </w:lvl>
    <w:lvl w:ilvl="4" w:tplc="E5360526">
      <w:start w:val="1"/>
      <w:numFmt w:val="decimal"/>
      <w:lvlText w:val="%5)"/>
      <w:lvlJc w:val="left"/>
      <w:pPr>
        <w:ind w:left="1020" w:hanging="360"/>
      </w:pPr>
    </w:lvl>
    <w:lvl w:ilvl="5" w:tplc="C246800C">
      <w:start w:val="1"/>
      <w:numFmt w:val="decimal"/>
      <w:lvlText w:val="%6)"/>
      <w:lvlJc w:val="left"/>
      <w:pPr>
        <w:ind w:left="1020" w:hanging="360"/>
      </w:pPr>
    </w:lvl>
    <w:lvl w:ilvl="6" w:tplc="E54888E0">
      <w:start w:val="1"/>
      <w:numFmt w:val="decimal"/>
      <w:lvlText w:val="%7)"/>
      <w:lvlJc w:val="left"/>
      <w:pPr>
        <w:ind w:left="1020" w:hanging="360"/>
      </w:pPr>
    </w:lvl>
    <w:lvl w:ilvl="7" w:tplc="74AE951E">
      <w:start w:val="1"/>
      <w:numFmt w:val="decimal"/>
      <w:lvlText w:val="%8)"/>
      <w:lvlJc w:val="left"/>
      <w:pPr>
        <w:ind w:left="1020" w:hanging="360"/>
      </w:pPr>
    </w:lvl>
    <w:lvl w:ilvl="8" w:tplc="17464DB0">
      <w:start w:val="1"/>
      <w:numFmt w:val="decimal"/>
      <w:lvlText w:val="%9)"/>
      <w:lvlJc w:val="left"/>
      <w:pPr>
        <w:ind w:left="1020" w:hanging="360"/>
      </w:pPr>
    </w:lvl>
  </w:abstractNum>
  <w:abstractNum w:abstractNumId="35" w15:restartNumberingAfterBreak="0">
    <w:nsid w:val="7083101E"/>
    <w:multiLevelType w:val="hybridMultilevel"/>
    <w:tmpl w:val="E7CAE710"/>
    <w:lvl w:ilvl="0" w:tplc="C4743422">
      <w:start w:val="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27C614E"/>
    <w:multiLevelType w:val="hybridMultilevel"/>
    <w:tmpl w:val="901AA7F4"/>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624467"/>
    <w:multiLevelType w:val="multilevel"/>
    <w:tmpl w:val="FE18696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74E67E7C"/>
    <w:multiLevelType w:val="hybridMultilevel"/>
    <w:tmpl w:val="3E407D26"/>
    <w:lvl w:ilvl="0" w:tplc="73A28D58">
      <w:start w:val="3"/>
      <w:numFmt w:val="bullet"/>
      <w:lvlText w:val="-"/>
      <w:lvlJc w:val="left"/>
      <w:pPr>
        <w:ind w:left="360" w:hanging="360"/>
      </w:pPr>
      <w:rPr>
        <w:rFonts w:ascii="Verdana" w:eastAsiaTheme="minorHAnsi" w:hAnsi="Verdana"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4FB0CDA"/>
    <w:multiLevelType w:val="hybridMultilevel"/>
    <w:tmpl w:val="59BA92C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5052252"/>
    <w:multiLevelType w:val="hybridMultilevel"/>
    <w:tmpl w:val="BE1260C6"/>
    <w:lvl w:ilvl="0" w:tplc="C4743422">
      <w:start w:val="4"/>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78F7A36"/>
    <w:multiLevelType w:val="hybridMultilevel"/>
    <w:tmpl w:val="5BD6A50E"/>
    <w:lvl w:ilvl="0" w:tplc="80DE583E">
      <w:start w:val="1"/>
      <w:numFmt w:val="bullet"/>
      <w:lvlText w:val=""/>
      <w:lvlJc w:val="left"/>
      <w:pPr>
        <w:ind w:left="720" w:hanging="360"/>
      </w:pPr>
      <w:rPr>
        <w:rFonts w:ascii="Symbol" w:hAnsi="Symbol"/>
      </w:rPr>
    </w:lvl>
    <w:lvl w:ilvl="1" w:tplc="A8240786">
      <w:start w:val="1"/>
      <w:numFmt w:val="bullet"/>
      <w:lvlText w:val=""/>
      <w:lvlJc w:val="left"/>
      <w:pPr>
        <w:ind w:left="720" w:hanging="360"/>
      </w:pPr>
      <w:rPr>
        <w:rFonts w:ascii="Symbol" w:hAnsi="Symbol"/>
      </w:rPr>
    </w:lvl>
    <w:lvl w:ilvl="2" w:tplc="E732EED4">
      <w:start w:val="1"/>
      <w:numFmt w:val="bullet"/>
      <w:lvlText w:val=""/>
      <w:lvlJc w:val="left"/>
      <w:pPr>
        <w:ind w:left="720" w:hanging="360"/>
      </w:pPr>
      <w:rPr>
        <w:rFonts w:ascii="Symbol" w:hAnsi="Symbol"/>
      </w:rPr>
    </w:lvl>
    <w:lvl w:ilvl="3" w:tplc="F3DE2C0A">
      <w:start w:val="1"/>
      <w:numFmt w:val="bullet"/>
      <w:lvlText w:val=""/>
      <w:lvlJc w:val="left"/>
      <w:pPr>
        <w:ind w:left="720" w:hanging="360"/>
      </w:pPr>
      <w:rPr>
        <w:rFonts w:ascii="Symbol" w:hAnsi="Symbol"/>
      </w:rPr>
    </w:lvl>
    <w:lvl w:ilvl="4" w:tplc="E88A9C8A">
      <w:start w:val="1"/>
      <w:numFmt w:val="bullet"/>
      <w:lvlText w:val=""/>
      <w:lvlJc w:val="left"/>
      <w:pPr>
        <w:ind w:left="720" w:hanging="360"/>
      </w:pPr>
      <w:rPr>
        <w:rFonts w:ascii="Symbol" w:hAnsi="Symbol"/>
      </w:rPr>
    </w:lvl>
    <w:lvl w:ilvl="5" w:tplc="DB5CE412">
      <w:start w:val="1"/>
      <w:numFmt w:val="bullet"/>
      <w:lvlText w:val=""/>
      <w:lvlJc w:val="left"/>
      <w:pPr>
        <w:ind w:left="720" w:hanging="360"/>
      </w:pPr>
      <w:rPr>
        <w:rFonts w:ascii="Symbol" w:hAnsi="Symbol"/>
      </w:rPr>
    </w:lvl>
    <w:lvl w:ilvl="6" w:tplc="0AB29E5E">
      <w:start w:val="1"/>
      <w:numFmt w:val="bullet"/>
      <w:lvlText w:val=""/>
      <w:lvlJc w:val="left"/>
      <w:pPr>
        <w:ind w:left="720" w:hanging="360"/>
      </w:pPr>
      <w:rPr>
        <w:rFonts w:ascii="Symbol" w:hAnsi="Symbol"/>
      </w:rPr>
    </w:lvl>
    <w:lvl w:ilvl="7" w:tplc="2E6060EC">
      <w:start w:val="1"/>
      <w:numFmt w:val="bullet"/>
      <w:lvlText w:val=""/>
      <w:lvlJc w:val="left"/>
      <w:pPr>
        <w:ind w:left="720" w:hanging="360"/>
      </w:pPr>
      <w:rPr>
        <w:rFonts w:ascii="Symbol" w:hAnsi="Symbol"/>
      </w:rPr>
    </w:lvl>
    <w:lvl w:ilvl="8" w:tplc="AB1CD49C">
      <w:start w:val="1"/>
      <w:numFmt w:val="bullet"/>
      <w:lvlText w:val=""/>
      <w:lvlJc w:val="left"/>
      <w:pPr>
        <w:ind w:left="720" w:hanging="360"/>
      </w:pPr>
      <w:rPr>
        <w:rFonts w:ascii="Symbol" w:hAnsi="Symbol"/>
      </w:rPr>
    </w:lvl>
  </w:abstractNum>
  <w:abstractNum w:abstractNumId="42" w15:restartNumberingAfterBreak="0">
    <w:nsid w:val="798B0CEE"/>
    <w:multiLevelType w:val="hybridMultilevel"/>
    <w:tmpl w:val="35A085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9E355E"/>
    <w:multiLevelType w:val="hybridMultilevel"/>
    <w:tmpl w:val="E144706C"/>
    <w:lvl w:ilvl="0" w:tplc="73A28D58">
      <w:start w:val="3"/>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EBF2DAD"/>
    <w:multiLevelType w:val="hybridMultilevel"/>
    <w:tmpl w:val="18A270FE"/>
    <w:lvl w:ilvl="0" w:tplc="C4743422">
      <w:start w:val="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7690316">
    <w:abstractNumId w:val="13"/>
  </w:num>
  <w:num w:numId="2" w16cid:durableId="2030256438">
    <w:abstractNumId w:val="44"/>
  </w:num>
  <w:num w:numId="3" w16cid:durableId="1230963528">
    <w:abstractNumId w:val="6"/>
  </w:num>
  <w:num w:numId="4" w16cid:durableId="1272586439">
    <w:abstractNumId w:val="9"/>
  </w:num>
  <w:num w:numId="5" w16cid:durableId="1279491312">
    <w:abstractNumId w:val="31"/>
  </w:num>
  <w:num w:numId="6" w16cid:durableId="1044476372">
    <w:abstractNumId w:val="17"/>
  </w:num>
  <w:num w:numId="7" w16cid:durableId="1976987741">
    <w:abstractNumId w:val="30"/>
  </w:num>
  <w:num w:numId="8" w16cid:durableId="113138719">
    <w:abstractNumId w:val="27"/>
  </w:num>
  <w:num w:numId="9" w16cid:durableId="685254469">
    <w:abstractNumId w:val="36"/>
  </w:num>
  <w:num w:numId="10" w16cid:durableId="912543350">
    <w:abstractNumId w:val="43"/>
  </w:num>
  <w:num w:numId="11" w16cid:durableId="1062948455">
    <w:abstractNumId w:val="42"/>
  </w:num>
  <w:num w:numId="12" w16cid:durableId="1738674656">
    <w:abstractNumId w:val="35"/>
  </w:num>
  <w:num w:numId="13" w16cid:durableId="690765399">
    <w:abstractNumId w:val="29"/>
  </w:num>
  <w:num w:numId="14" w16cid:durableId="1184780349">
    <w:abstractNumId w:val="39"/>
  </w:num>
  <w:num w:numId="15" w16cid:durableId="622811604">
    <w:abstractNumId w:val="32"/>
  </w:num>
  <w:num w:numId="16" w16cid:durableId="512499577">
    <w:abstractNumId w:val="4"/>
  </w:num>
  <w:num w:numId="17" w16cid:durableId="1320889899">
    <w:abstractNumId w:val="40"/>
  </w:num>
  <w:num w:numId="18" w16cid:durableId="1569731408">
    <w:abstractNumId w:val="18"/>
  </w:num>
  <w:num w:numId="19" w16cid:durableId="938369201">
    <w:abstractNumId w:val="11"/>
  </w:num>
  <w:num w:numId="20" w16cid:durableId="1906797240">
    <w:abstractNumId w:val="25"/>
  </w:num>
  <w:num w:numId="21" w16cid:durableId="1215313330">
    <w:abstractNumId w:val="23"/>
  </w:num>
  <w:num w:numId="22" w16cid:durableId="413085916">
    <w:abstractNumId w:val="24"/>
  </w:num>
  <w:num w:numId="23" w16cid:durableId="293566040">
    <w:abstractNumId w:val="28"/>
  </w:num>
  <w:num w:numId="24" w16cid:durableId="1695964099">
    <w:abstractNumId w:val="8"/>
  </w:num>
  <w:num w:numId="25" w16cid:durableId="836728056">
    <w:abstractNumId w:val="38"/>
  </w:num>
  <w:num w:numId="26" w16cid:durableId="916091787">
    <w:abstractNumId w:val="10"/>
  </w:num>
  <w:num w:numId="27" w16cid:durableId="1304234766">
    <w:abstractNumId w:val="14"/>
  </w:num>
  <w:num w:numId="28" w16cid:durableId="646209186">
    <w:abstractNumId w:val="19"/>
  </w:num>
  <w:num w:numId="29" w16cid:durableId="1186554596">
    <w:abstractNumId w:val="1"/>
  </w:num>
  <w:num w:numId="30" w16cid:durableId="1755054317">
    <w:abstractNumId w:val="12"/>
  </w:num>
  <w:num w:numId="31" w16cid:durableId="2005014909">
    <w:abstractNumId w:val="34"/>
  </w:num>
  <w:num w:numId="32" w16cid:durableId="1217858399">
    <w:abstractNumId w:val="3"/>
  </w:num>
  <w:num w:numId="33" w16cid:durableId="1805198529">
    <w:abstractNumId w:val="0"/>
  </w:num>
  <w:num w:numId="34" w16cid:durableId="527644069">
    <w:abstractNumId w:val="16"/>
  </w:num>
  <w:num w:numId="35" w16cid:durableId="831918460">
    <w:abstractNumId w:val="44"/>
  </w:num>
  <w:num w:numId="36" w16cid:durableId="112095426">
    <w:abstractNumId w:val="26"/>
  </w:num>
  <w:num w:numId="37" w16cid:durableId="19401643">
    <w:abstractNumId w:val="22"/>
  </w:num>
  <w:num w:numId="38" w16cid:durableId="391655321">
    <w:abstractNumId w:val="15"/>
  </w:num>
  <w:num w:numId="39" w16cid:durableId="1273323265">
    <w:abstractNumId w:val="33"/>
  </w:num>
  <w:num w:numId="40" w16cid:durableId="828248543">
    <w:abstractNumId w:val="7"/>
  </w:num>
  <w:num w:numId="41" w16cid:durableId="1349021646">
    <w:abstractNumId w:val="21"/>
  </w:num>
  <w:num w:numId="42" w16cid:durableId="7565621">
    <w:abstractNumId w:val="41"/>
  </w:num>
  <w:num w:numId="43" w16cid:durableId="1698266436">
    <w:abstractNumId w:val="2"/>
  </w:num>
  <w:num w:numId="44" w16cid:durableId="907376518">
    <w:abstractNumId w:val="5"/>
  </w:num>
  <w:num w:numId="45" w16cid:durableId="1891502812">
    <w:abstractNumId w:val="37"/>
  </w:num>
  <w:num w:numId="46" w16cid:durableId="322052295">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D6"/>
    <w:rsid w:val="00000385"/>
    <w:rsid w:val="00000E2A"/>
    <w:rsid w:val="00000F57"/>
    <w:rsid w:val="00000F9B"/>
    <w:rsid w:val="000019AD"/>
    <w:rsid w:val="00001F49"/>
    <w:rsid w:val="00002093"/>
    <w:rsid w:val="000021E3"/>
    <w:rsid w:val="000029C3"/>
    <w:rsid w:val="00002EDC"/>
    <w:rsid w:val="000030D8"/>
    <w:rsid w:val="00003B85"/>
    <w:rsid w:val="000040BF"/>
    <w:rsid w:val="00004161"/>
    <w:rsid w:val="0000468E"/>
    <w:rsid w:val="000046E6"/>
    <w:rsid w:val="000053C0"/>
    <w:rsid w:val="00005479"/>
    <w:rsid w:val="00005F74"/>
    <w:rsid w:val="0000604E"/>
    <w:rsid w:val="00006059"/>
    <w:rsid w:val="00006AE2"/>
    <w:rsid w:val="00006D1B"/>
    <w:rsid w:val="00006E7E"/>
    <w:rsid w:val="00006F7A"/>
    <w:rsid w:val="000106BE"/>
    <w:rsid w:val="00012742"/>
    <w:rsid w:val="0001279F"/>
    <w:rsid w:val="0001293E"/>
    <w:rsid w:val="00012978"/>
    <w:rsid w:val="000129C7"/>
    <w:rsid w:val="000136BF"/>
    <w:rsid w:val="000138F8"/>
    <w:rsid w:val="00013E00"/>
    <w:rsid w:val="0001426B"/>
    <w:rsid w:val="00014ADA"/>
    <w:rsid w:val="00014FB4"/>
    <w:rsid w:val="0001575F"/>
    <w:rsid w:val="00015819"/>
    <w:rsid w:val="00015922"/>
    <w:rsid w:val="000175F2"/>
    <w:rsid w:val="0002027F"/>
    <w:rsid w:val="000203C8"/>
    <w:rsid w:val="0002062D"/>
    <w:rsid w:val="00020693"/>
    <w:rsid w:val="0002178F"/>
    <w:rsid w:val="0002189C"/>
    <w:rsid w:val="0002239D"/>
    <w:rsid w:val="000223A7"/>
    <w:rsid w:val="00022520"/>
    <w:rsid w:val="00022F7A"/>
    <w:rsid w:val="00023FD6"/>
    <w:rsid w:val="000242D1"/>
    <w:rsid w:val="00024386"/>
    <w:rsid w:val="0002445A"/>
    <w:rsid w:val="000245D9"/>
    <w:rsid w:val="000254B9"/>
    <w:rsid w:val="0002730A"/>
    <w:rsid w:val="000275F3"/>
    <w:rsid w:val="00027E46"/>
    <w:rsid w:val="00027F78"/>
    <w:rsid w:val="00030ABF"/>
    <w:rsid w:val="0003105C"/>
    <w:rsid w:val="000312FE"/>
    <w:rsid w:val="00032EF0"/>
    <w:rsid w:val="00032FDE"/>
    <w:rsid w:val="00033F7D"/>
    <w:rsid w:val="000344B6"/>
    <w:rsid w:val="000355A3"/>
    <w:rsid w:val="00035F30"/>
    <w:rsid w:val="000368C0"/>
    <w:rsid w:val="00036CEC"/>
    <w:rsid w:val="00036FB5"/>
    <w:rsid w:val="00037394"/>
    <w:rsid w:val="000373E8"/>
    <w:rsid w:val="00037932"/>
    <w:rsid w:val="0003798F"/>
    <w:rsid w:val="00041E01"/>
    <w:rsid w:val="00041F3A"/>
    <w:rsid w:val="000428B6"/>
    <w:rsid w:val="00043388"/>
    <w:rsid w:val="00044803"/>
    <w:rsid w:val="000455DF"/>
    <w:rsid w:val="00046492"/>
    <w:rsid w:val="00046E1F"/>
    <w:rsid w:val="00046F77"/>
    <w:rsid w:val="00047A42"/>
    <w:rsid w:val="00050650"/>
    <w:rsid w:val="00050F64"/>
    <w:rsid w:val="0005432D"/>
    <w:rsid w:val="00054A76"/>
    <w:rsid w:val="00055C1A"/>
    <w:rsid w:val="000567F8"/>
    <w:rsid w:val="00056C34"/>
    <w:rsid w:val="00057073"/>
    <w:rsid w:val="00057139"/>
    <w:rsid w:val="00057605"/>
    <w:rsid w:val="000600BD"/>
    <w:rsid w:val="00060E4B"/>
    <w:rsid w:val="00061306"/>
    <w:rsid w:val="00061B15"/>
    <w:rsid w:val="00061C17"/>
    <w:rsid w:val="0006239A"/>
    <w:rsid w:val="000646EB"/>
    <w:rsid w:val="00065DA0"/>
    <w:rsid w:val="00066141"/>
    <w:rsid w:val="00067465"/>
    <w:rsid w:val="00070131"/>
    <w:rsid w:val="00070CF6"/>
    <w:rsid w:val="000718A9"/>
    <w:rsid w:val="0007203E"/>
    <w:rsid w:val="00072042"/>
    <w:rsid w:val="0007222F"/>
    <w:rsid w:val="00072844"/>
    <w:rsid w:val="00072FE2"/>
    <w:rsid w:val="00073587"/>
    <w:rsid w:val="0007373E"/>
    <w:rsid w:val="0007425F"/>
    <w:rsid w:val="0007430E"/>
    <w:rsid w:val="00074F38"/>
    <w:rsid w:val="0007537D"/>
    <w:rsid w:val="000754EF"/>
    <w:rsid w:val="00076145"/>
    <w:rsid w:val="000763C5"/>
    <w:rsid w:val="000768F6"/>
    <w:rsid w:val="00076AF9"/>
    <w:rsid w:val="00076B7F"/>
    <w:rsid w:val="00076CF5"/>
    <w:rsid w:val="00076DA3"/>
    <w:rsid w:val="000773FC"/>
    <w:rsid w:val="00077902"/>
    <w:rsid w:val="00077F38"/>
    <w:rsid w:val="00080B1E"/>
    <w:rsid w:val="00080CCE"/>
    <w:rsid w:val="000810C0"/>
    <w:rsid w:val="00081232"/>
    <w:rsid w:val="000828BC"/>
    <w:rsid w:val="0008352E"/>
    <w:rsid w:val="0008538C"/>
    <w:rsid w:val="00085B77"/>
    <w:rsid w:val="00085BBF"/>
    <w:rsid w:val="00087306"/>
    <w:rsid w:val="000879C4"/>
    <w:rsid w:val="0009115D"/>
    <w:rsid w:val="00091438"/>
    <w:rsid w:val="000914AC"/>
    <w:rsid w:val="00091593"/>
    <w:rsid w:val="00091C88"/>
    <w:rsid w:val="00092BCF"/>
    <w:rsid w:val="00093820"/>
    <w:rsid w:val="00093A84"/>
    <w:rsid w:val="000942C9"/>
    <w:rsid w:val="000942CF"/>
    <w:rsid w:val="00095009"/>
    <w:rsid w:val="000969CE"/>
    <w:rsid w:val="00096A3F"/>
    <w:rsid w:val="00096AC4"/>
    <w:rsid w:val="00096EAC"/>
    <w:rsid w:val="000971D4"/>
    <w:rsid w:val="000971FB"/>
    <w:rsid w:val="00097916"/>
    <w:rsid w:val="00097E66"/>
    <w:rsid w:val="000A01D0"/>
    <w:rsid w:val="000A055B"/>
    <w:rsid w:val="000A07B5"/>
    <w:rsid w:val="000A0CF8"/>
    <w:rsid w:val="000A12EF"/>
    <w:rsid w:val="000A1FAA"/>
    <w:rsid w:val="000A2228"/>
    <w:rsid w:val="000A2FA4"/>
    <w:rsid w:val="000A3BC8"/>
    <w:rsid w:val="000A3D72"/>
    <w:rsid w:val="000A45EB"/>
    <w:rsid w:val="000A6008"/>
    <w:rsid w:val="000A6099"/>
    <w:rsid w:val="000A6DB6"/>
    <w:rsid w:val="000A6EBB"/>
    <w:rsid w:val="000B0074"/>
    <w:rsid w:val="000B0AAD"/>
    <w:rsid w:val="000B1960"/>
    <w:rsid w:val="000B19A7"/>
    <w:rsid w:val="000B1AC1"/>
    <w:rsid w:val="000B23DA"/>
    <w:rsid w:val="000B2F6A"/>
    <w:rsid w:val="000B3744"/>
    <w:rsid w:val="000B397E"/>
    <w:rsid w:val="000B507F"/>
    <w:rsid w:val="000B5E25"/>
    <w:rsid w:val="000B6035"/>
    <w:rsid w:val="000B6140"/>
    <w:rsid w:val="000B66A9"/>
    <w:rsid w:val="000B6DEA"/>
    <w:rsid w:val="000B73C4"/>
    <w:rsid w:val="000B7AD4"/>
    <w:rsid w:val="000B7DE6"/>
    <w:rsid w:val="000C009A"/>
    <w:rsid w:val="000C0699"/>
    <w:rsid w:val="000C0A6D"/>
    <w:rsid w:val="000C0CB1"/>
    <w:rsid w:val="000C13C4"/>
    <w:rsid w:val="000C1DC9"/>
    <w:rsid w:val="000C2721"/>
    <w:rsid w:val="000C34B3"/>
    <w:rsid w:val="000C3649"/>
    <w:rsid w:val="000C3725"/>
    <w:rsid w:val="000C383C"/>
    <w:rsid w:val="000C3A48"/>
    <w:rsid w:val="000C3AAC"/>
    <w:rsid w:val="000C3EF5"/>
    <w:rsid w:val="000C5783"/>
    <w:rsid w:val="000C5FA7"/>
    <w:rsid w:val="000C61D4"/>
    <w:rsid w:val="000C6BA1"/>
    <w:rsid w:val="000D04DD"/>
    <w:rsid w:val="000D0B57"/>
    <w:rsid w:val="000D20C8"/>
    <w:rsid w:val="000D2B40"/>
    <w:rsid w:val="000D3182"/>
    <w:rsid w:val="000D3B40"/>
    <w:rsid w:val="000D3F41"/>
    <w:rsid w:val="000D4BF7"/>
    <w:rsid w:val="000D587A"/>
    <w:rsid w:val="000D67B2"/>
    <w:rsid w:val="000D708B"/>
    <w:rsid w:val="000E05F9"/>
    <w:rsid w:val="000E0DD4"/>
    <w:rsid w:val="000E2387"/>
    <w:rsid w:val="000E2551"/>
    <w:rsid w:val="000E3337"/>
    <w:rsid w:val="000E3A78"/>
    <w:rsid w:val="000E4886"/>
    <w:rsid w:val="000E5114"/>
    <w:rsid w:val="000E60F2"/>
    <w:rsid w:val="000E66ED"/>
    <w:rsid w:val="000E6E23"/>
    <w:rsid w:val="000E76E7"/>
    <w:rsid w:val="000E7908"/>
    <w:rsid w:val="000F0C3E"/>
    <w:rsid w:val="000F1157"/>
    <w:rsid w:val="000F1D9A"/>
    <w:rsid w:val="000F35C7"/>
    <w:rsid w:val="000F4184"/>
    <w:rsid w:val="000F4313"/>
    <w:rsid w:val="000F48BE"/>
    <w:rsid w:val="000F5284"/>
    <w:rsid w:val="000F5A9C"/>
    <w:rsid w:val="000F6B36"/>
    <w:rsid w:val="00100637"/>
    <w:rsid w:val="0010089D"/>
    <w:rsid w:val="00101158"/>
    <w:rsid w:val="00101352"/>
    <w:rsid w:val="0010161F"/>
    <w:rsid w:val="00101A53"/>
    <w:rsid w:val="00101A70"/>
    <w:rsid w:val="00102029"/>
    <w:rsid w:val="00102F8B"/>
    <w:rsid w:val="001046FF"/>
    <w:rsid w:val="00104DF1"/>
    <w:rsid w:val="0010507F"/>
    <w:rsid w:val="0010533A"/>
    <w:rsid w:val="001055AA"/>
    <w:rsid w:val="00105C0A"/>
    <w:rsid w:val="00105E58"/>
    <w:rsid w:val="00105F73"/>
    <w:rsid w:val="0010632E"/>
    <w:rsid w:val="00106835"/>
    <w:rsid w:val="00106F94"/>
    <w:rsid w:val="00107054"/>
    <w:rsid w:val="00111CD9"/>
    <w:rsid w:val="00112925"/>
    <w:rsid w:val="00112BD4"/>
    <w:rsid w:val="00113306"/>
    <w:rsid w:val="00113408"/>
    <w:rsid w:val="0011499F"/>
    <w:rsid w:val="00114D8B"/>
    <w:rsid w:val="00115076"/>
    <w:rsid w:val="00116A0C"/>
    <w:rsid w:val="001179DA"/>
    <w:rsid w:val="00120345"/>
    <w:rsid w:val="0012109D"/>
    <w:rsid w:val="00121F84"/>
    <w:rsid w:val="00122BDD"/>
    <w:rsid w:val="00122F18"/>
    <w:rsid w:val="001237CA"/>
    <w:rsid w:val="00123AEB"/>
    <w:rsid w:val="001253B5"/>
    <w:rsid w:val="00126711"/>
    <w:rsid w:val="00127838"/>
    <w:rsid w:val="00130D79"/>
    <w:rsid w:val="00131637"/>
    <w:rsid w:val="00131C2C"/>
    <w:rsid w:val="001332EC"/>
    <w:rsid w:val="00134B5A"/>
    <w:rsid w:val="001353AE"/>
    <w:rsid w:val="00136005"/>
    <w:rsid w:val="00137628"/>
    <w:rsid w:val="00140308"/>
    <w:rsid w:val="001403AF"/>
    <w:rsid w:val="001403DA"/>
    <w:rsid w:val="001428E7"/>
    <w:rsid w:val="0014384F"/>
    <w:rsid w:val="0014489C"/>
    <w:rsid w:val="00145945"/>
    <w:rsid w:val="001467B0"/>
    <w:rsid w:val="00147544"/>
    <w:rsid w:val="00147AC0"/>
    <w:rsid w:val="00150E49"/>
    <w:rsid w:val="001510AA"/>
    <w:rsid w:val="0015192D"/>
    <w:rsid w:val="00152792"/>
    <w:rsid w:val="00153612"/>
    <w:rsid w:val="00153EE6"/>
    <w:rsid w:val="0015415E"/>
    <w:rsid w:val="0015498D"/>
    <w:rsid w:val="0015567A"/>
    <w:rsid w:val="00155B51"/>
    <w:rsid w:val="00155E31"/>
    <w:rsid w:val="001568D0"/>
    <w:rsid w:val="001569F8"/>
    <w:rsid w:val="001572A8"/>
    <w:rsid w:val="00157E07"/>
    <w:rsid w:val="00160232"/>
    <w:rsid w:val="00160544"/>
    <w:rsid w:val="0016061B"/>
    <w:rsid w:val="001612D1"/>
    <w:rsid w:val="0016174D"/>
    <w:rsid w:val="001617FE"/>
    <w:rsid w:val="00161A60"/>
    <w:rsid w:val="00161F61"/>
    <w:rsid w:val="00161F7A"/>
    <w:rsid w:val="00162172"/>
    <w:rsid w:val="00162455"/>
    <w:rsid w:val="0016377E"/>
    <w:rsid w:val="00163AAA"/>
    <w:rsid w:val="00163AFC"/>
    <w:rsid w:val="00163E10"/>
    <w:rsid w:val="00163ED8"/>
    <w:rsid w:val="0016467B"/>
    <w:rsid w:val="00164ADF"/>
    <w:rsid w:val="00164DB5"/>
    <w:rsid w:val="00164DE3"/>
    <w:rsid w:val="001652E5"/>
    <w:rsid w:val="00165517"/>
    <w:rsid w:val="00166069"/>
    <w:rsid w:val="001663C5"/>
    <w:rsid w:val="001665CF"/>
    <w:rsid w:val="00166960"/>
    <w:rsid w:val="00166ED9"/>
    <w:rsid w:val="00167612"/>
    <w:rsid w:val="0016774B"/>
    <w:rsid w:val="001678E6"/>
    <w:rsid w:val="00167900"/>
    <w:rsid w:val="001679CD"/>
    <w:rsid w:val="0017022E"/>
    <w:rsid w:val="00170483"/>
    <w:rsid w:val="00170966"/>
    <w:rsid w:val="001710B6"/>
    <w:rsid w:val="00171B8E"/>
    <w:rsid w:val="001720A8"/>
    <w:rsid w:val="0017225B"/>
    <w:rsid w:val="0017290B"/>
    <w:rsid w:val="0017372D"/>
    <w:rsid w:val="00173A26"/>
    <w:rsid w:val="00173C59"/>
    <w:rsid w:val="001746A1"/>
    <w:rsid w:val="00174C84"/>
    <w:rsid w:val="00175F6B"/>
    <w:rsid w:val="001762B2"/>
    <w:rsid w:val="001766BF"/>
    <w:rsid w:val="00176874"/>
    <w:rsid w:val="00176A11"/>
    <w:rsid w:val="00177117"/>
    <w:rsid w:val="0017745E"/>
    <w:rsid w:val="00177A74"/>
    <w:rsid w:val="0018078D"/>
    <w:rsid w:val="00180935"/>
    <w:rsid w:val="001815FB"/>
    <w:rsid w:val="00181AC9"/>
    <w:rsid w:val="00182535"/>
    <w:rsid w:val="001827C9"/>
    <w:rsid w:val="001841C6"/>
    <w:rsid w:val="00184CAD"/>
    <w:rsid w:val="00185750"/>
    <w:rsid w:val="0018705B"/>
    <w:rsid w:val="0018718E"/>
    <w:rsid w:val="00187F7E"/>
    <w:rsid w:val="0019042E"/>
    <w:rsid w:val="001910A1"/>
    <w:rsid w:val="00192375"/>
    <w:rsid w:val="00192C07"/>
    <w:rsid w:val="00194086"/>
    <w:rsid w:val="00195B40"/>
    <w:rsid w:val="00195D56"/>
    <w:rsid w:val="00196405"/>
    <w:rsid w:val="00196C32"/>
    <w:rsid w:val="001A02E8"/>
    <w:rsid w:val="001A0738"/>
    <w:rsid w:val="001A0E4D"/>
    <w:rsid w:val="001A10A7"/>
    <w:rsid w:val="001A1EEB"/>
    <w:rsid w:val="001A25A3"/>
    <w:rsid w:val="001A2629"/>
    <w:rsid w:val="001A28E7"/>
    <w:rsid w:val="001A2B5F"/>
    <w:rsid w:val="001A2BF9"/>
    <w:rsid w:val="001A3129"/>
    <w:rsid w:val="001A4046"/>
    <w:rsid w:val="001A4CE2"/>
    <w:rsid w:val="001A57A0"/>
    <w:rsid w:val="001A5B4E"/>
    <w:rsid w:val="001A60FA"/>
    <w:rsid w:val="001A6767"/>
    <w:rsid w:val="001A6E6A"/>
    <w:rsid w:val="001A707B"/>
    <w:rsid w:val="001A73D8"/>
    <w:rsid w:val="001A7BF7"/>
    <w:rsid w:val="001A7F79"/>
    <w:rsid w:val="001B0B40"/>
    <w:rsid w:val="001B120C"/>
    <w:rsid w:val="001B267C"/>
    <w:rsid w:val="001B26A1"/>
    <w:rsid w:val="001B2A0E"/>
    <w:rsid w:val="001B3699"/>
    <w:rsid w:val="001B4071"/>
    <w:rsid w:val="001B4FC8"/>
    <w:rsid w:val="001B5478"/>
    <w:rsid w:val="001B6242"/>
    <w:rsid w:val="001B63CF"/>
    <w:rsid w:val="001B658F"/>
    <w:rsid w:val="001C0AAD"/>
    <w:rsid w:val="001C0D13"/>
    <w:rsid w:val="001C1DD9"/>
    <w:rsid w:val="001C1EC9"/>
    <w:rsid w:val="001C278D"/>
    <w:rsid w:val="001C2AE8"/>
    <w:rsid w:val="001C2AEA"/>
    <w:rsid w:val="001C3353"/>
    <w:rsid w:val="001C52A0"/>
    <w:rsid w:val="001C658B"/>
    <w:rsid w:val="001C6CE4"/>
    <w:rsid w:val="001C6D09"/>
    <w:rsid w:val="001C77F7"/>
    <w:rsid w:val="001C7DB6"/>
    <w:rsid w:val="001D0986"/>
    <w:rsid w:val="001D107F"/>
    <w:rsid w:val="001D1181"/>
    <w:rsid w:val="001D1BB4"/>
    <w:rsid w:val="001D378B"/>
    <w:rsid w:val="001D39AC"/>
    <w:rsid w:val="001D3EFA"/>
    <w:rsid w:val="001D3FBE"/>
    <w:rsid w:val="001D4121"/>
    <w:rsid w:val="001D4267"/>
    <w:rsid w:val="001D52B9"/>
    <w:rsid w:val="001D611A"/>
    <w:rsid w:val="001D69EE"/>
    <w:rsid w:val="001D6CE2"/>
    <w:rsid w:val="001D6F2B"/>
    <w:rsid w:val="001D76E5"/>
    <w:rsid w:val="001D7BC7"/>
    <w:rsid w:val="001E085E"/>
    <w:rsid w:val="001E08C9"/>
    <w:rsid w:val="001E1011"/>
    <w:rsid w:val="001E15F2"/>
    <w:rsid w:val="001E28DA"/>
    <w:rsid w:val="001E2BAF"/>
    <w:rsid w:val="001E2F10"/>
    <w:rsid w:val="001E324D"/>
    <w:rsid w:val="001E338B"/>
    <w:rsid w:val="001E37FE"/>
    <w:rsid w:val="001E389E"/>
    <w:rsid w:val="001E3F64"/>
    <w:rsid w:val="001E4BAB"/>
    <w:rsid w:val="001E4CEE"/>
    <w:rsid w:val="001E5500"/>
    <w:rsid w:val="001E5B1A"/>
    <w:rsid w:val="001E6E5C"/>
    <w:rsid w:val="001E7520"/>
    <w:rsid w:val="001E77A9"/>
    <w:rsid w:val="001E7B92"/>
    <w:rsid w:val="001E7BE6"/>
    <w:rsid w:val="001E7F7F"/>
    <w:rsid w:val="001E7F88"/>
    <w:rsid w:val="001F08E8"/>
    <w:rsid w:val="001F11DE"/>
    <w:rsid w:val="001F12D3"/>
    <w:rsid w:val="001F1345"/>
    <w:rsid w:val="001F1640"/>
    <w:rsid w:val="001F184A"/>
    <w:rsid w:val="001F1C34"/>
    <w:rsid w:val="001F1C43"/>
    <w:rsid w:val="001F2161"/>
    <w:rsid w:val="001F26F0"/>
    <w:rsid w:val="001F274F"/>
    <w:rsid w:val="001F2B9F"/>
    <w:rsid w:val="001F2C1A"/>
    <w:rsid w:val="001F2E4F"/>
    <w:rsid w:val="001F3357"/>
    <w:rsid w:val="001F38D5"/>
    <w:rsid w:val="001F4E54"/>
    <w:rsid w:val="001F54A3"/>
    <w:rsid w:val="00200BD8"/>
    <w:rsid w:val="00201812"/>
    <w:rsid w:val="00202193"/>
    <w:rsid w:val="0020232B"/>
    <w:rsid w:val="00202743"/>
    <w:rsid w:val="00202BE7"/>
    <w:rsid w:val="002036A6"/>
    <w:rsid w:val="0020548C"/>
    <w:rsid w:val="00206058"/>
    <w:rsid w:val="00206D05"/>
    <w:rsid w:val="00207596"/>
    <w:rsid w:val="0020762F"/>
    <w:rsid w:val="00210183"/>
    <w:rsid w:val="00210698"/>
    <w:rsid w:val="00210D5B"/>
    <w:rsid w:val="00210ED1"/>
    <w:rsid w:val="002111B6"/>
    <w:rsid w:val="0021152A"/>
    <w:rsid w:val="00212309"/>
    <w:rsid w:val="00212DA9"/>
    <w:rsid w:val="00213A98"/>
    <w:rsid w:val="00214257"/>
    <w:rsid w:val="00214373"/>
    <w:rsid w:val="00214B3F"/>
    <w:rsid w:val="002150B6"/>
    <w:rsid w:val="002161BE"/>
    <w:rsid w:val="00216432"/>
    <w:rsid w:val="0021794F"/>
    <w:rsid w:val="00217C1A"/>
    <w:rsid w:val="002203A9"/>
    <w:rsid w:val="0022057F"/>
    <w:rsid w:val="00220AA6"/>
    <w:rsid w:val="002212B4"/>
    <w:rsid w:val="0022150C"/>
    <w:rsid w:val="00222518"/>
    <w:rsid w:val="00222C15"/>
    <w:rsid w:val="00222E94"/>
    <w:rsid w:val="00223125"/>
    <w:rsid w:val="00223143"/>
    <w:rsid w:val="002236D5"/>
    <w:rsid w:val="0022381C"/>
    <w:rsid w:val="00223ACD"/>
    <w:rsid w:val="00224977"/>
    <w:rsid w:val="002249BC"/>
    <w:rsid w:val="00224B87"/>
    <w:rsid w:val="00225014"/>
    <w:rsid w:val="00225800"/>
    <w:rsid w:val="0022592E"/>
    <w:rsid w:val="002259EC"/>
    <w:rsid w:val="00225B69"/>
    <w:rsid w:val="00225C7A"/>
    <w:rsid w:val="00226A6A"/>
    <w:rsid w:val="0022717A"/>
    <w:rsid w:val="002275D6"/>
    <w:rsid w:val="00227685"/>
    <w:rsid w:val="002276AF"/>
    <w:rsid w:val="00227815"/>
    <w:rsid w:val="00230324"/>
    <w:rsid w:val="00230506"/>
    <w:rsid w:val="0023071E"/>
    <w:rsid w:val="00230E1F"/>
    <w:rsid w:val="00230F24"/>
    <w:rsid w:val="0023179F"/>
    <w:rsid w:val="00231A2C"/>
    <w:rsid w:val="00231A50"/>
    <w:rsid w:val="0023217F"/>
    <w:rsid w:val="00232277"/>
    <w:rsid w:val="00234AEF"/>
    <w:rsid w:val="0023506F"/>
    <w:rsid w:val="00236019"/>
    <w:rsid w:val="00237611"/>
    <w:rsid w:val="00241925"/>
    <w:rsid w:val="00242320"/>
    <w:rsid w:val="0024237D"/>
    <w:rsid w:val="00242646"/>
    <w:rsid w:val="00242823"/>
    <w:rsid w:val="002429E7"/>
    <w:rsid w:val="00243155"/>
    <w:rsid w:val="0024361F"/>
    <w:rsid w:val="00243B2B"/>
    <w:rsid w:val="00243B96"/>
    <w:rsid w:val="002448E1"/>
    <w:rsid w:val="002449BE"/>
    <w:rsid w:val="002449ED"/>
    <w:rsid w:val="00244AE4"/>
    <w:rsid w:val="00245A67"/>
    <w:rsid w:val="00245B4A"/>
    <w:rsid w:val="0024709E"/>
    <w:rsid w:val="002472DA"/>
    <w:rsid w:val="002474E1"/>
    <w:rsid w:val="00247E66"/>
    <w:rsid w:val="002501D9"/>
    <w:rsid w:val="00250A1C"/>
    <w:rsid w:val="00251426"/>
    <w:rsid w:val="00251713"/>
    <w:rsid w:val="00252167"/>
    <w:rsid w:val="002523AA"/>
    <w:rsid w:val="0025255A"/>
    <w:rsid w:val="002525C3"/>
    <w:rsid w:val="0025292D"/>
    <w:rsid w:val="0025319A"/>
    <w:rsid w:val="00253AD4"/>
    <w:rsid w:val="00254CBE"/>
    <w:rsid w:val="00255B95"/>
    <w:rsid w:val="00256B6A"/>
    <w:rsid w:val="00257AA5"/>
    <w:rsid w:val="00257ACA"/>
    <w:rsid w:val="002600B6"/>
    <w:rsid w:val="00260F71"/>
    <w:rsid w:val="002611BD"/>
    <w:rsid w:val="002616B7"/>
    <w:rsid w:val="00261A32"/>
    <w:rsid w:val="00261E57"/>
    <w:rsid w:val="00263B13"/>
    <w:rsid w:val="00264F44"/>
    <w:rsid w:val="00266341"/>
    <w:rsid w:val="00266D43"/>
    <w:rsid w:val="0027041A"/>
    <w:rsid w:val="0027152A"/>
    <w:rsid w:val="0027177E"/>
    <w:rsid w:val="00272CD0"/>
    <w:rsid w:val="002735A3"/>
    <w:rsid w:val="002735DA"/>
    <w:rsid w:val="00274BC0"/>
    <w:rsid w:val="00275B1C"/>
    <w:rsid w:val="002763CB"/>
    <w:rsid w:val="00276A33"/>
    <w:rsid w:val="00276D1D"/>
    <w:rsid w:val="00276E26"/>
    <w:rsid w:val="002776E1"/>
    <w:rsid w:val="00277D14"/>
    <w:rsid w:val="0028024A"/>
    <w:rsid w:val="00280D13"/>
    <w:rsid w:val="00281513"/>
    <w:rsid w:val="00282449"/>
    <w:rsid w:val="00283B1E"/>
    <w:rsid w:val="00284AE5"/>
    <w:rsid w:val="002857E2"/>
    <w:rsid w:val="00285E08"/>
    <w:rsid w:val="00287BD2"/>
    <w:rsid w:val="00287DA1"/>
    <w:rsid w:val="00290A8A"/>
    <w:rsid w:val="00290BAB"/>
    <w:rsid w:val="00291CD7"/>
    <w:rsid w:val="00291DC7"/>
    <w:rsid w:val="002922BA"/>
    <w:rsid w:val="00292DA2"/>
    <w:rsid w:val="002933FE"/>
    <w:rsid w:val="00293548"/>
    <w:rsid w:val="002936AC"/>
    <w:rsid w:val="00293D35"/>
    <w:rsid w:val="00295420"/>
    <w:rsid w:val="00296B04"/>
    <w:rsid w:val="00296C8E"/>
    <w:rsid w:val="00297187"/>
    <w:rsid w:val="002A02A4"/>
    <w:rsid w:val="002A0833"/>
    <w:rsid w:val="002A1625"/>
    <w:rsid w:val="002A167A"/>
    <w:rsid w:val="002A206D"/>
    <w:rsid w:val="002A279E"/>
    <w:rsid w:val="002A3A3F"/>
    <w:rsid w:val="002A3A42"/>
    <w:rsid w:val="002A3EB9"/>
    <w:rsid w:val="002A42FC"/>
    <w:rsid w:val="002A4478"/>
    <w:rsid w:val="002A4EE7"/>
    <w:rsid w:val="002A4EF6"/>
    <w:rsid w:val="002A5033"/>
    <w:rsid w:val="002A5DBB"/>
    <w:rsid w:val="002A6724"/>
    <w:rsid w:val="002A74AC"/>
    <w:rsid w:val="002B069C"/>
    <w:rsid w:val="002B0900"/>
    <w:rsid w:val="002B1E3E"/>
    <w:rsid w:val="002B1F74"/>
    <w:rsid w:val="002B20AC"/>
    <w:rsid w:val="002B27BF"/>
    <w:rsid w:val="002B340E"/>
    <w:rsid w:val="002B3BDE"/>
    <w:rsid w:val="002B4329"/>
    <w:rsid w:val="002B487B"/>
    <w:rsid w:val="002B5832"/>
    <w:rsid w:val="002B5E88"/>
    <w:rsid w:val="002B5FB0"/>
    <w:rsid w:val="002B616D"/>
    <w:rsid w:val="002B72ED"/>
    <w:rsid w:val="002B74DE"/>
    <w:rsid w:val="002C0999"/>
    <w:rsid w:val="002C1A95"/>
    <w:rsid w:val="002C1BEC"/>
    <w:rsid w:val="002C2DDB"/>
    <w:rsid w:val="002C3038"/>
    <w:rsid w:val="002C3433"/>
    <w:rsid w:val="002C46AC"/>
    <w:rsid w:val="002C55CC"/>
    <w:rsid w:val="002C5F83"/>
    <w:rsid w:val="002C604F"/>
    <w:rsid w:val="002C656F"/>
    <w:rsid w:val="002C6649"/>
    <w:rsid w:val="002C68D1"/>
    <w:rsid w:val="002C6936"/>
    <w:rsid w:val="002C694B"/>
    <w:rsid w:val="002C6D51"/>
    <w:rsid w:val="002C7045"/>
    <w:rsid w:val="002C71B1"/>
    <w:rsid w:val="002C782F"/>
    <w:rsid w:val="002D0705"/>
    <w:rsid w:val="002D0BF9"/>
    <w:rsid w:val="002D0C57"/>
    <w:rsid w:val="002D1262"/>
    <w:rsid w:val="002D1344"/>
    <w:rsid w:val="002D25A1"/>
    <w:rsid w:val="002D27C9"/>
    <w:rsid w:val="002D2B53"/>
    <w:rsid w:val="002D3182"/>
    <w:rsid w:val="002D367B"/>
    <w:rsid w:val="002D3B92"/>
    <w:rsid w:val="002D5813"/>
    <w:rsid w:val="002D660D"/>
    <w:rsid w:val="002D66AD"/>
    <w:rsid w:val="002D72F4"/>
    <w:rsid w:val="002D72FC"/>
    <w:rsid w:val="002E07D1"/>
    <w:rsid w:val="002E13E1"/>
    <w:rsid w:val="002E181D"/>
    <w:rsid w:val="002E1EF3"/>
    <w:rsid w:val="002E265E"/>
    <w:rsid w:val="002E26ED"/>
    <w:rsid w:val="002E2BAD"/>
    <w:rsid w:val="002E34AA"/>
    <w:rsid w:val="002E357D"/>
    <w:rsid w:val="002E3FA9"/>
    <w:rsid w:val="002E41F3"/>
    <w:rsid w:val="002E43F3"/>
    <w:rsid w:val="002E54B7"/>
    <w:rsid w:val="002E5A46"/>
    <w:rsid w:val="002E5DE5"/>
    <w:rsid w:val="002E5F4D"/>
    <w:rsid w:val="002E6397"/>
    <w:rsid w:val="002E6AD6"/>
    <w:rsid w:val="002E72B1"/>
    <w:rsid w:val="002F064D"/>
    <w:rsid w:val="002F0DDD"/>
    <w:rsid w:val="002F1C7B"/>
    <w:rsid w:val="002F34D6"/>
    <w:rsid w:val="002F35D1"/>
    <w:rsid w:val="002F3880"/>
    <w:rsid w:val="002F61A3"/>
    <w:rsid w:val="002F686F"/>
    <w:rsid w:val="002F6EC3"/>
    <w:rsid w:val="002F7AB9"/>
    <w:rsid w:val="002F7E53"/>
    <w:rsid w:val="00300135"/>
    <w:rsid w:val="0030016E"/>
    <w:rsid w:val="00300593"/>
    <w:rsid w:val="00300C37"/>
    <w:rsid w:val="00300D77"/>
    <w:rsid w:val="00301275"/>
    <w:rsid w:val="0030167F"/>
    <w:rsid w:val="003019AF"/>
    <w:rsid w:val="003023AE"/>
    <w:rsid w:val="00302794"/>
    <w:rsid w:val="00302E46"/>
    <w:rsid w:val="003030A0"/>
    <w:rsid w:val="0030366A"/>
    <w:rsid w:val="00304B18"/>
    <w:rsid w:val="0030696F"/>
    <w:rsid w:val="00307AFB"/>
    <w:rsid w:val="00307EA2"/>
    <w:rsid w:val="003101BD"/>
    <w:rsid w:val="00310CE6"/>
    <w:rsid w:val="00310F06"/>
    <w:rsid w:val="003119F2"/>
    <w:rsid w:val="00311C0A"/>
    <w:rsid w:val="003125D9"/>
    <w:rsid w:val="0031266D"/>
    <w:rsid w:val="003127A6"/>
    <w:rsid w:val="00312896"/>
    <w:rsid w:val="00312931"/>
    <w:rsid w:val="00312D67"/>
    <w:rsid w:val="00314145"/>
    <w:rsid w:val="00315D25"/>
    <w:rsid w:val="00316D1C"/>
    <w:rsid w:val="003171F4"/>
    <w:rsid w:val="00317321"/>
    <w:rsid w:val="00317467"/>
    <w:rsid w:val="00320B0E"/>
    <w:rsid w:val="00320B39"/>
    <w:rsid w:val="00321C8F"/>
    <w:rsid w:val="0032218F"/>
    <w:rsid w:val="00322E49"/>
    <w:rsid w:val="00322E53"/>
    <w:rsid w:val="00322F7B"/>
    <w:rsid w:val="0032333D"/>
    <w:rsid w:val="00324BA3"/>
    <w:rsid w:val="00324BF2"/>
    <w:rsid w:val="00324E22"/>
    <w:rsid w:val="003254FC"/>
    <w:rsid w:val="003260AC"/>
    <w:rsid w:val="0032685A"/>
    <w:rsid w:val="0032743B"/>
    <w:rsid w:val="0033031E"/>
    <w:rsid w:val="00330890"/>
    <w:rsid w:val="00330D52"/>
    <w:rsid w:val="00330DBD"/>
    <w:rsid w:val="00331E67"/>
    <w:rsid w:val="00331E85"/>
    <w:rsid w:val="003324F2"/>
    <w:rsid w:val="00334788"/>
    <w:rsid w:val="00335216"/>
    <w:rsid w:val="0033575D"/>
    <w:rsid w:val="003357DD"/>
    <w:rsid w:val="00335F49"/>
    <w:rsid w:val="003361C0"/>
    <w:rsid w:val="0033676C"/>
    <w:rsid w:val="00337CB4"/>
    <w:rsid w:val="00340646"/>
    <w:rsid w:val="00340C8B"/>
    <w:rsid w:val="00340EB8"/>
    <w:rsid w:val="00340EF0"/>
    <w:rsid w:val="0034339D"/>
    <w:rsid w:val="00343883"/>
    <w:rsid w:val="00344D24"/>
    <w:rsid w:val="003452D3"/>
    <w:rsid w:val="0034564B"/>
    <w:rsid w:val="0034568F"/>
    <w:rsid w:val="00346122"/>
    <w:rsid w:val="00347679"/>
    <w:rsid w:val="003478ED"/>
    <w:rsid w:val="00347CDD"/>
    <w:rsid w:val="003500D0"/>
    <w:rsid w:val="00350501"/>
    <w:rsid w:val="0035060D"/>
    <w:rsid w:val="003512EC"/>
    <w:rsid w:val="00351A08"/>
    <w:rsid w:val="003527E2"/>
    <w:rsid w:val="003549AB"/>
    <w:rsid w:val="00354FF2"/>
    <w:rsid w:val="00355004"/>
    <w:rsid w:val="00355355"/>
    <w:rsid w:val="003556E9"/>
    <w:rsid w:val="00355DCD"/>
    <w:rsid w:val="0035605C"/>
    <w:rsid w:val="0035619B"/>
    <w:rsid w:val="003567E2"/>
    <w:rsid w:val="00356995"/>
    <w:rsid w:val="00356CEF"/>
    <w:rsid w:val="0035736C"/>
    <w:rsid w:val="003579ED"/>
    <w:rsid w:val="003579FC"/>
    <w:rsid w:val="00360125"/>
    <w:rsid w:val="00360D14"/>
    <w:rsid w:val="0036122E"/>
    <w:rsid w:val="00361608"/>
    <w:rsid w:val="00361642"/>
    <w:rsid w:val="00362EB1"/>
    <w:rsid w:val="003633B2"/>
    <w:rsid w:val="00363576"/>
    <w:rsid w:val="003637B2"/>
    <w:rsid w:val="0036399D"/>
    <w:rsid w:val="00363FDE"/>
    <w:rsid w:val="00364EA8"/>
    <w:rsid w:val="003655D8"/>
    <w:rsid w:val="00366FC8"/>
    <w:rsid w:val="003670D3"/>
    <w:rsid w:val="00367111"/>
    <w:rsid w:val="00367EAC"/>
    <w:rsid w:val="0037005D"/>
    <w:rsid w:val="003707A1"/>
    <w:rsid w:val="00370B46"/>
    <w:rsid w:val="00372313"/>
    <w:rsid w:val="00372B9F"/>
    <w:rsid w:val="00373054"/>
    <w:rsid w:val="003747F4"/>
    <w:rsid w:val="00374BA1"/>
    <w:rsid w:val="00375171"/>
    <w:rsid w:val="00375CB9"/>
    <w:rsid w:val="00375E7D"/>
    <w:rsid w:val="003764E8"/>
    <w:rsid w:val="003767FF"/>
    <w:rsid w:val="0037720F"/>
    <w:rsid w:val="00377470"/>
    <w:rsid w:val="003803CE"/>
    <w:rsid w:val="00381659"/>
    <w:rsid w:val="00382599"/>
    <w:rsid w:val="003826C5"/>
    <w:rsid w:val="00382B67"/>
    <w:rsid w:val="00382EFD"/>
    <w:rsid w:val="00382FAA"/>
    <w:rsid w:val="00383DE6"/>
    <w:rsid w:val="00384018"/>
    <w:rsid w:val="00384079"/>
    <w:rsid w:val="00384E0B"/>
    <w:rsid w:val="003851E4"/>
    <w:rsid w:val="00385E4D"/>
    <w:rsid w:val="00385F42"/>
    <w:rsid w:val="003860B3"/>
    <w:rsid w:val="00386243"/>
    <w:rsid w:val="00386D2B"/>
    <w:rsid w:val="00386D59"/>
    <w:rsid w:val="00387033"/>
    <w:rsid w:val="0038EEA8"/>
    <w:rsid w:val="00390543"/>
    <w:rsid w:val="00390876"/>
    <w:rsid w:val="00390F5C"/>
    <w:rsid w:val="003912E3"/>
    <w:rsid w:val="0039183B"/>
    <w:rsid w:val="003933D0"/>
    <w:rsid w:val="003934D1"/>
    <w:rsid w:val="003946E0"/>
    <w:rsid w:val="00394EB3"/>
    <w:rsid w:val="0039533C"/>
    <w:rsid w:val="003963C0"/>
    <w:rsid w:val="00396F15"/>
    <w:rsid w:val="003970BC"/>
    <w:rsid w:val="00397DEB"/>
    <w:rsid w:val="003A0062"/>
    <w:rsid w:val="003A00E1"/>
    <w:rsid w:val="003A0D2D"/>
    <w:rsid w:val="003A10DB"/>
    <w:rsid w:val="003A158A"/>
    <w:rsid w:val="003A1837"/>
    <w:rsid w:val="003A20B9"/>
    <w:rsid w:val="003A2F25"/>
    <w:rsid w:val="003A31DA"/>
    <w:rsid w:val="003A3363"/>
    <w:rsid w:val="003A3547"/>
    <w:rsid w:val="003A3577"/>
    <w:rsid w:val="003A3E0B"/>
    <w:rsid w:val="003A42A4"/>
    <w:rsid w:val="003A494A"/>
    <w:rsid w:val="003A4CB0"/>
    <w:rsid w:val="003A5350"/>
    <w:rsid w:val="003A54EA"/>
    <w:rsid w:val="003A5555"/>
    <w:rsid w:val="003A6F8D"/>
    <w:rsid w:val="003B01CB"/>
    <w:rsid w:val="003B04EB"/>
    <w:rsid w:val="003B0768"/>
    <w:rsid w:val="003B0779"/>
    <w:rsid w:val="003B0794"/>
    <w:rsid w:val="003B0A7A"/>
    <w:rsid w:val="003B24BF"/>
    <w:rsid w:val="003B3917"/>
    <w:rsid w:val="003B3D5E"/>
    <w:rsid w:val="003B424B"/>
    <w:rsid w:val="003B4288"/>
    <w:rsid w:val="003B4946"/>
    <w:rsid w:val="003B4995"/>
    <w:rsid w:val="003B4C3A"/>
    <w:rsid w:val="003B5262"/>
    <w:rsid w:val="003B615E"/>
    <w:rsid w:val="003B6AC1"/>
    <w:rsid w:val="003B74AD"/>
    <w:rsid w:val="003C18E2"/>
    <w:rsid w:val="003C234B"/>
    <w:rsid w:val="003C2AE9"/>
    <w:rsid w:val="003C307A"/>
    <w:rsid w:val="003C3FFB"/>
    <w:rsid w:val="003C44E6"/>
    <w:rsid w:val="003C5F94"/>
    <w:rsid w:val="003C6A68"/>
    <w:rsid w:val="003C6B8E"/>
    <w:rsid w:val="003C71D4"/>
    <w:rsid w:val="003C78B3"/>
    <w:rsid w:val="003D05FC"/>
    <w:rsid w:val="003D18F0"/>
    <w:rsid w:val="003D1B90"/>
    <w:rsid w:val="003D1F6B"/>
    <w:rsid w:val="003D2530"/>
    <w:rsid w:val="003D2E1F"/>
    <w:rsid w:val="003D34A8"/>
    <w:rsid w:val="003D34B7"/>
    <w:rsid w:val="003D4F92"/>
    <w:rsid w:val="003D52BF"/>
    <w:rsid w:val="003D560E"/>
    <w:rsid w:val="003D596D"/>
    <w:rsid w:val="003D6D64"/>
    <w:rsid w:val="003E019E"/>
    <w:rsid w:val="003E13C8"/>
    <w:rsid w:val="003E23BC"/>
    <w:rsid w:val="003E2724"/>
    <w:rsid w:val="003E30C8"/>
    <w:rsid w:val="003E33D2"/>
    <w:rsid w:val="003E348C"/>
    <w:rsid w:val="003E3F12"/>
    <w:rsid w:val="003E4310"/>
    <w:rsid w:val="003E44DD"/>
    <w:rsid w:val="003E4E93"/>
    <w:rsid w:val="003E51C4"/>
    <w:rsid w:val="003E5265"/>
    <w:rsid w:val="003E560B"/>
    <w:rsid w:val="003E581A"/>
    <w:rsid w:val="003E5F64"/>
    <w:rsid w:val="003E60B0"/>
    <w:rsid w:val="003E62B1"/>
    <w:rsid w:val="003E6B41"/>
    <w:rsid w:val="003E6EA7"/>
    <w:rsid w:val="003E75B3"/>
    <w:rsid w:val="003EDD8F"/>
    <w:rsid w:val="003F0225"/>
    <w:rsid w:val="003F0EAA"/>
    <w:rsid w:val="003F1052"/>
    <w:rsid w:val="003F22B7"/>
    <w:rsid w:val="003F23AE"/>
    <w:rsid w:val="003F293C"/>
    <w:rsid w:val="003F2CE5"/>
    <w:rsid w:val="003F371A"/>
    <w:rsid w:val="003F3C94"/>
    <w:rsid w:val="003F44F2"/>
    <w:rsid w:val="003F5256"/>
    <w:rsid w:val="003F5A78"/>
    <w:rsid w:val="003F7F31"/>
    <w:rsid w:val="003F7F93"/>
    <w:rsid w:val="00400368"/>
    <w:rsid w:val="00400619"/>
    <w:rsid w:val="00400699"/>
    <w:rsid w:val="00400775"/>
    <w:rsid w:val="00400EC8"/>
    <w:rsid w:val="004015BE"/>
    <w:rsid w:val="00402117"/>
    <w:rsid w:val="0040216C"/>
    <w:rsid w:val="0040230B"/>
    <w:rsid w:val="0040279F"/>
    <w:rsid w:val="00402F05"/>
    <w:rsid w:val="00405098"/>
    <w:rsid w:val="0040596D"/>
    <w:rsid w:val="00405F10"/>
    <w:rsid w:val="00407539"/>
    <w:rsid w:val="00410ACA"/>
    <w:rsid w:val="00410E7B"/>
    <w:rsid w:val="00411370"/>
    <w:rsid w:val="00411E27"/>
    <w:rsid w:val="0041204A"/>
    <w:rsid w:val="00412129"/>
    <w:rsid w:val="00412AFF"/>
    <w:rsid w:val="00413101"/>
    <w:rsid w:val="00413700"/>
    <w:rsid w:val="00413C92"/>
    <w:rsid w:val="00413F70"/>
    <w:rsid w:val="00414301"/>
    <w:rsid w:val="004144B8"/>
    <w:rsid w:val="00416117"/>
    <w:rsid w:val="00417091"/>
    <w:rsid w:val="004170B4"/>
    <w:rsid w:val="00417291"/>
    <w:rsid w:val="004213FB"/>
    <w:rsid w:val="00421713"/>
    <w:rsid w:val="004226DA"/>
    <w:rsid w:val="004236E7"/>
    <w:rsid w:val="00423B74"/>
    <w:rsid w:val="004240BE"/>
    <w:rsid w:val="004248DF"/>
    <w:rsid w:val="00424DF5"/>
    <w:rsid w:val="00424EDC"/>
    <w:rsid w:val="0042508D"/>
    <w:rsid w:val="0042514F"/>
    <w:rsid w:val="00425822"/>
    <w:rsid w:val="00425B96"/>
    <w:rsid w:val="00425C90"/>
    <w:rsid w:val="00425D37"/>
    <w:rsid w:val="00426815"/>
    <w:rsid w:val="00426E07"/>
    <w:rsid w:val="00427DD6"/>
    <w:rsid w:val="0043049C"/>
    <w:rsid w:val="0043055B"/>
    <w:rsid w:val="00430670"/>
    <w:rsid w:val="00431672"/>
    <w:rsid w:val="004329F1"/>
    <w:rsid w:val="00432BC9"/>
    <w:rsid w:val="00432C96"/>
    <w:rsid w:val="0043556F"/>
    <w:rsid w:val="00435F77"/>
    <w:rsid w:val="004362EB"/>
    <w:rsid w:val="00436C30"/>
    <w:rsid w:val="0043752A"/>
    <w:rsid w:val="0043763E"/>
    <w:rsid w:val="00437EB8"/>
    <w:rsid w:val="00440BFC"/>
    <w:rsid w:val="00440FFA"/>
    <w:rsid w:val="00441436"/>
    <w:rsid w:val="00441A1E"/>
    <w:rsid w:val="00444132"/>
    <w:rsid w:val="00444448"/>
    <w:rsid w:val="004444FF"/>
    <w:rsid w:val="00444CCA"/>
    <w:rsid w:val="00445122"/>
    <w:rsid w:val="00445382"/>
    <w:rsid w:val="00445E92"/>
    <w:rsid w:val="004461F6"/>
    <w:rsid w:val="00446717"/>
    <w:rsid w:val="00446E87"/>
    <w:rsid w:val="0044731A"/>
    <w:rsid w:val="0044736A"/>
    <w:rsid w:val="00447597"/>
    <w:rsid w:val="00447C0B"/>
    <w:rsid w:val="00451A99"/>
    <w:rsid w:val="00451CEA"/>
    <w:rsid w:val="00452094"/>
    <w:rsid w:val="004524F1"/>
    <w:rsid w:val="00452B16"/>
    <w:rsid w:val="0045331E"/>
    <w:rsid w:val="004539BC"/>
    <w:rsid w:val="00453CC8"/>
    <w:rsid w:val="00453E82"/>
    <w:rsid w:val="00453EC6"/>
    <w:rsid w:val="00454165"/>
    <w:rsid w:val="0045481D"/>
    <w:rsid w:val="0045683A"/>
    <w:rsid w:val="00456EEB"/>
    <w:rsid w:val="004571C0"/>
    <w:rsid w:val="004575DD"/>
    <w:rsid w:val="00457FC4"/>
    <w:rsid w:val="004600E2"/>
    <w:rsid w:val="00460241"/>
    <w:rsid w:val="0046112D"/>
    <w:rsid w:val="004624DF"/>
    <w:rsid w:val="00462912"/>
    <w:rsid w:val="00462BF2"/>
    <w:rsid w:val="004630CC"/>
    <w:rsid w:val="004631CC"/>
    <w:rsid w:val="00463BA6"/>
    <w:rsid w:val="0046401A"/>
    <w:rsid w:val="00464947"/>
    <w:rsid w:val="00465830"/>
    <w:rsid w:val="004660F6"/>
    <w:rsid w:val="0046683B"/>
    <w:rsid w:val="00466DC2"/>
    <w:rsid w:val="00466E4A"/>
    <w:rsid w:val="00467074"/>
    <w:rsid w:val="0046742E"/>
    <w:rsid w:val="004708C4"/>
    <w:rsid w:val="00471507"/>
    <w:rsid w:val="00471DC9"/>
    <w:rsid w:val="0047200E"/>
    <w:rsid w:val="00472363"/>
    <w:rsid w:val="00473045"/>
    <w:rsid w:val="00473A10"/>
    <w:rsid w:val="00473F94"/>
    <w:rsid w:val="004745C6"/>
    <w:rsid w:val="00474F03"/>
    <w:rsid w:val="00475028"/>
    <w:rsid w:val="004751CC"/>
    <w:rsid w:val="00476B39"/>
    <w:rsid w:val="00476C06"/>
    <w:rsid w:val="00476DBE"/>
    <w:rsid w:val="00476E88"/>
    <w:rsid w:val="00476F42"/>
    <w:rsid w:val="0047735F"/>
    <w:rsid w:val="00477394"/>
    <w:rsid w:val="004776ED"/>
    <w:rsid w:val="00477C8E"/>
    <w:rsid w:val="00477C90"/>
    <w:rsid w:val="00480156"/>
    <w:rsid w:val="0048186C"/>
    <w:rsid w:val="00481B09"/>
    <w:rsid w:val="00481BF1"/>
    <w:rsid w:val="00482475"/>
    <w:rsid w:val="00482512"/>
    <w:rsid w:val="00482907"/>
    <w:rsid w:val="00482A1E"/>
    <w:rsid w:val="004831C1"/>
    <w:rsid w:val="0048352A"/>
    <w:rsid w:val="00484B31"/>
    <w:rsid w:val="00484CB2"/>
    <w:rsid w:val="0048519D"/>
    <w:rsid w:val="004860B3"/>
    <w:rsid w:val="00486E50"/>
    <w:rsid w:val="00486F5A"/>
    <w:rsid w:val="004871A0"/>
    <w:rsid w:val="0048736F"/>
    <w:rsid w:val="004873D6"/>
    <w:rsid w:val="00487A7C"/>
    <w:rsid w:val="00490806"/>
    <w:rsid w:val="00490B07"/>
    <w:rsid w:val="00490FF9"/>
    <w:rsid w:val="0049152A"/>
    <w:rsid w:val="00493010"/>
    <w:rsid w:val="00494671"/>
    <w:rsid w:val="0049470C"/>
    <w:rsid w:val="0049592E"/>
    <w:rsid w:val="00495D09"/>
    <w:rsid w:val="00495F98"/>
    <w:rsid w:val="0049756D"/>
    <w:rsid w:val="00497C9A"/>
    <w:rsid w:val="00497CA1"/>
    <w:rsid w:val="004A0F74"/>
    <w:rsid w:val="004A104A"/>
    <w:rsid w:val="004A1761"/>
    <w:rsid w:val="004A3C0B"/>
    <w:rsid w:val="004A4A84"/>
    <w:rsid w:val="004A4D07"/>
    <w:rsid w:val="004B0768"/>
    <w:rsid w:val="004B366D"/>
    <w:rsid w:val="004B4A7B"/>
    <w:rsid w:val="004B5772"/>
    <w:rsid w:val="004B588F"/>
    <w:rsid w:val="004B665B"/>
    <w:rsid w:val="004B7192"/>
    <w:rsid w:val="004C005C"/>
    <w:rsid w:val="004C0A0E"/>
    <w:rsid w:val="004C1488"/>
    <w:rsid w:val="004C1927"/>
    <w:rsid w:val="004C1FE3"/>
    <w:rsid w:val="004C29A5"/>
    <w:rsid w:val="004C2F41"/>
    <w:rsid w:val="004C31DE"/>
    <w:rsid w:val="004C3629"/>
    <w:rsid w:val="004C42EA"/>
    <w:rsid w:val="004C4316"/>
    <w:rsid w:val="004C5EDB"/>
    <w:rsid w:val="004C642E"/>
    <w:rsid w:val="004C6650"/>
    <w:rsid w:val="004C6886"/>
    <w:rsid w:val="004D05BD"/>
    <w:rsid w:val="004D0EC7"/>
    <w:rsid w:val="004D1F0B"/>
    <w:rsid w:val="004D2497"/>
    <w:rsid w:val="004D2FF8"/>
    <w:rsid w:val="004D305F"/>
    <w:rsid w:val="004D3267"/>
    <w:rsid w:val="004D330F"/>
    <w:rsid w:val="004D379C"/>
    <w:rsid w:val="004D3F3F"/>
    <w:rsid w:val="004D3FFE"/>
    <w:rsid w:val="004D535C"/>
    <w:rsid w:val="004D5D5E"/>
    <w:rsid w:val="004D6068"/>
    <w:rsid w:val="004D640F"/>
    <w:rsid w:val="004D684D"/>
    <w:rsid w:val="004D7B1B"/>
    <w:rsid w:val="004E0DBD"/>
    <w:rsid w:val="004E1276"/>
    <w:rsid w:val="004E17A5"/>
    <w:rsid w:val="004E2453"/>
    <w:rsid w:val="004E2A19"/>
    <w:rsid w:val="004E3CD5"/>
    <w:rsid w:val="004E3FE9"/>
    <w:rsid w:val="004E4DCA"/>
    <w:rsid w:val="004E4DF3"/>
    <w:rsid w:val="004E534B"/>
    <w:rsid w:val="004E5379"/>
    <w:rsid w:val="004E5FD2"/>
    <w:rsid w:val="004E6E55"/>
    <w:rsid w:val="004E7CC4"/>
    <w:rsid w:val="004F145B"/>
    <w:rsid w:val="004F14E5"/>
    <w:rsid w:val="004F1904"/>
    <w:rsid w:val="004F1E96"/>
    <w:rsid w:val="004F1E97"/>
    <w:rsid w:val="004F2E24"/>
    <w:rsid w:val="004F2E4E"/>
    <w:rsid w:val="004F30C0"/>
    <w:rsid w:val="004F38DB"/>
    <w:rsid w:val="004F4C37"/>
    <w:rsid w:val="004F595D"/>
    <w:rsid w:val="004F5A7B"/>
    <w:rsid w:val="004F5BCB"/>
    <w:rsid w:val="004F622F"/>
    <w:rsid w:val="004F62F6"/>
    <w:rsid w:val="004F6B28"/>
    <w:rsid w:val="004F74A1"/>
    <w:rsid w:val="004F752E"/>
    <w:rsid w:val="004F7879"/>
    <w:rsid w:val="004F7AD5"/>
    <w:rsid w:val="00500F47"/>
    <w:rsid w:val="00500FF8"/>
    <w:rsid w:val="005015DC"/>
    <w:rsid w:val="0050186E"/>
    <w:rsid w:val="00501949"/>
    <w:rsid w:val="005023B1"/>
    <w:rsid w:val="00503435"/>
    <w:rsid w:val="005042A2"/>
    <w:rsid w:val="00504C03"/>
    <w:rsid w:val="00505179"/>
    <w:rsid w:val="005065C6"/>
    <w:rsid w:val="00506AF7"/>
    <w:rsid w:val="0050711B"/>
    <w:rsid w:val="00510AF0"/>
    <w:rsid w:val="00510DBD"/>
    <w:rsid w:val="005112A0"/>
    <w:rsid w:val="005112AF"/>
    <w:rsid w:val="005113A9"/>
    <w:rsid w:val="00512007"/>
    <w:rsid w:val="0051278D"/>
    <w:rsid w:val="00513987"/>
    <w:rsid w:val="00513B44"/>
    <w:rsid w:val="00514AB0"/>
    <w:rsid w:val="00514DBA"/>
    <w:rsid w:val="00515219"/>
    <w:rsid w:val="00515EA7"/>
    <w:rsid w:val="005202BE"/>
    <w:rsid w:val="0052086C"/>
    <w:rsid w:val="00520E3E"/>
    <w:rsid w:val="00521508"/>
    <w:rsid w:val="00521F24"/>
    <w:rsid w:val="00523126"/>
    <w:rsid w:val="00523331"/>
    <w:rsid w:val="00523941"/>
    <w:rsid w:val="00523D92"/>
    <w:rsid w:val="005245C6"/>
    <w:rsid w:val="00525A91"/>
    <w:rsid w:val="00527AE9"/>
    <w:rsid w:val="0053013F"/>
    <w:rsid w:val="005301C0"/>
    <w:rsid w:val="00530FC4"/>
    <w:rsid w:val="00531D6D"/>
    <w:rsid w:val="00532151"/>
    <w:rsid w:val="005339A4"/>
    <w:rsid w:val="00534098"/>
    <w:rsid w:val="00534158"/>
    <w:rsid w:val="00535525"/>
    <w:rsid w:val="005356D1"/>
    <w:rsid w:val="0053597B"/>
    <w:rsid w:val="00535D35"/>
    <w:rsid w:val="005363F0"/>
    <w:rsid w:val="00536C5A"/>
    <w:rsid w:val="00536CBA"/>
    <w:rsid w:val="00537B25"/>
    <w:rsid w:val="00540B51"/>
    <w:rsid w:val="00541171"/>
    <w:rsid w:val="00541919"/>
    <w:rsid w:val="00542B44"/>
    <w:rsid w:val="0054384A"/>
    <w:rsid w:val="00543ABF"/>
    <w:rsid w:val="00543CE4"/>
    <w:rsid w:val="0054423A"/>
    <w:rsid w:val="005446EC"/>
    <w:rsid w:val="005448E4"/>
    <w:rsid w:val="00546CA1"/>
    <w:rsid w:val="005479A9"/>
    <w:rsid w:val="00550307"/>
    <w:rsid w:val="0055072B"/>
    <w:rsid w:val="00550E5F"/>
    <w:rsid w:val="00551ED7"/>
    <w:rsid w:val="00551FF4"/>
    <w:rsid w:val="005521CC"/>
    <w:rsid w:val="0055235A"/>
    <w:rsid w:val="00552E0D"/>
    <w:rsid w:val="005531B5"/>
    <w:rsid w:val="0055369E"/>
    <w:rsid w:val="00553C64"/>
    <w:rsid w:val="005559B8"/>
    <w:rsid w:val="005567CF"/>
    <w:rsid w:val="005567EC"/>
    <w:rsid w:val="005570E0"/>
    <w:rsid w:val="00557E5E"/>
    <w:rsid w:val="00560465"/>
    <w:rsid w:val="00562FF8"/>
    <w:rsid w:val="00563784"/>
    <w:rsid w:val="00564741"/>
    <w:rsid w:val="00565651"/>
    <w:rsid w:val="00565BAA"/>
    <w:rsid w:val="0056606A"/>
    <w:rsid w:val="00566BDD"/>
    <w:rsid w:val="00566D32"/>
    <w:rsid w:val="00566EC2"/>
    <w:rsid w:val="00566F1F"/>
    <w:rsid w:val="00567041"/>
    <w:rsid w:val="0056708F"/>
    <w:rsid w:val="005670A1"/>
    <w:rsid w:val="005671AD"/>
    <w:rsid w:val="0057067B"/>
    <w:rsid w:val="00570AF3"/>
    <w:rsid w:val="00571045"/>
    <w:rsid w:val="00571B2A"/>
    <w:rsid w:val="00571F60"/>
    <w:rsid w:val="00572AD1"/>
    <w:rsid w:val="00572B14"/>
    <w:rsid w:val="0057313C"/>
    <w:rsid w:val="00573150"/>
    <w:rsid w:val="00573CBF"/>
    <w:rsid w:val="00573E72"/>
    <w:rsid w:val="00573EC0"/>
    <w:rsid w:val="00573EE3"/>
    <w:rsid w:val="0057451D"/>
    <w:rsid w:val="00574DFB"/>
    <w:rsid w:val="00575078"/>
    <w:rsid w:val="005759FA"/>
    <w:rsid w:val="005769C1"/>
    <w:rsid w:val="00576F0E"/>
    <w:rsid w:val="00577590"/>
    <w:rsid w:val="00577B1B"/>
    <w:rsid w:val="00577C43"/>
    <w:rsid w:val="00580465"/>
    <w:rsid w:val="005810B8"/>
    <w:rsid w:val="005813A9"/>
    <w:rsid w:val="00582595"/>
    <w:rsid w:val="0058269E"/>
    <w:rsid w:val="00582D83"/>
    <w:rsid w:val="00583483"/>
    <w:rsid w:val="00583C9C"/>
    <w:rsid w:val="00584B24"/>
    <w:rsid w:val="00586DA4"/>
    <w:rsid w:val="00586DF3"/>
    <w:rsid w:val="00586E4F"/>
    <w:rsid w:val="00590393"/>
    <w:rsid w:val="005909ED"/>
    <w:rsid w:val="00590EDF"/>
    <w:rsid w:val="00591B36"/>
    <w:rsid w:val="00591E1E"/>
    <w:rsid w:val="005923D2"/>
    <w:rsid w:val="005933B9"/>
    <w:rsid w:val="00593700"/>
    <w:rsid w:val="005948A5"/>
    <w:rsid w:val="00595FD4"/>
    <w:rsid w:val="00596111"/>
    <w:rsid w:val="005963CC"/>
    <w:rsid w:val="0059641E"/>
    <w:rsid w:val="0059694C"/>
    <w:rsid w:val="0059695A"/>
    <w:rsid w:val="005A09B4"/>
    <w:rsid w:val="005A12E9"/>
    <w:rsid w:val="005A1391"/>
    <w:rsid w:val="005A197C"/>
    <w:rsid w:val="005A3925"/>
    <w:rsid w:val="005A3AD0"/>
    <w:rsid w:val="005A4563"/>
    <w:rsid w:val="005A4A1A"/>
    <w:rsid w:val="005A53CE"/>
    <w:rsid w:val="005A564B"/>
    <w:rsid w:val="005A6028"/>
    <w:rsid w:val="005A68C2"/>
    <w:rsid w:val="005A6B95"/>
    <w:rsid w:val="005A7762"/>
    <w:rsid w:val="005B05F6"/>
    <w:rsid w:val="005B08BA"/>
    <w:rsid w:val="005B0CE8"/>
    <w:rsid w:val="005B0ECC"/>
    <w:rsid w:val="005B1506"/>
    <w:rsid w:val="005B158E"/>
    <w:rsid w:val="005B1688"/>
    <w:rsid w:val="005B1729"/>
    <w:rsid w:val="005B1C08"/>
    <w:rsid w:val="005B20EB"/>
    <w:rsid w:val="005B2830"/>
    <w:rsid w:val="005B2EDA"/>
    <w:rsid w:val="005B3067"/>
    <w:rsid w:val="005B31ED"/>
    <w:rsid w:val="005B4304"/>
    <w:rsid w:val="005B46B3"/>
    <w:rsid w:val="005B4B82"/>
    <w:rsid w:val="005B5168"/>
    <w:rsid w:val="005B6233"/>
    <w:rsid w:val="005B6544"/>
    <w:rsid w:val="005B6671"/>
    <w:rsid w:val="005B6908"/>
    <w:rsid w:val="005B6E33"/>
    <w:rsid w:val="005C0E10"/>
    <w:rsid w:val="005C0E7A"/>
    <w:rsid w:val="005C2A5E"/>
    <w:rsid w:val="005C2DA7"/>
    <w:rsid w:val="005C39EF"/>
    <w:rsid w:val="005C3A89"/>
    <w:rsid w:val="005C3C4E"/>
    <w:rsid w:val="005C3CB3"/>
    <w:rsid w:val="005C4569"/>
    <w:rsid w:val="005C49A2"/>
    <w:rsid w:val="005C4F8E"/>
    <w:rsid w:val="005C5691"/>
    <w:rsid w:val="005C65D2"/>
    <w:rsid w:val="005C6E27"/>
    <w:rsid w:val="005C6F1F"/>
    <w:rsid w:val="005D03F0"/>
    <w:rsid w:val="005D0B70"/>
    <w:rsid w:val="005D0EC8"/>
    <w:rsid w:val="005D109E"/>
    <w:rsid w:val="005D1213"/>
    <w:rsid w:val="005D12CD"/>
    <w:rsid w:val="005D13C7"/>
    <w:rsid w:val="005D272D"/>
    <w:rsid w:val="005D2F73"/>
    <w:rsid w:val="005D5DF8"/>
    <w:rsid w:val="005D5EC0"/>
    <w:rsid w:val="005D5EC9"/>
    <w:rsid w:val="005D69ED"/>
    <w:rsid w:val="005D7288"/>
    <w:rsid w:val="005D73DF"/>
    <w:rsid w:val="005D79CF"/>
    <w:rsid w:val="005E04AB"/>
    <w:rsid w:val="005E073B"/>
    <w:rsid w:val="005E0BE7"/>
    <w:rsid w:val="005E1587"/>
    <w:rsid w:val="005E1A58"/>
    <w:rsid w:val="005E1FB6"/>
    <w:rsid w:val="005E1FDB"/>
    <w:rsid w:val="005E282B"/>
    <w:rsid w:val="005E2859"/>
    <w:rsid w:val="005E2BA6"/>
    <w:rsid w:val="005E3396"/>
    <w:rsid w:val="005E3DF9"/>
    <w:rsid w:val="005E425D"/>
    <w:rsid w:val="005E45AB"/>
    <w:rsid w:val="005E5608"/>
    <w:rsid w:val="005E5ACB"/>
    <w:rsid w:val="005E5C9C"/>
    <w:rsid w:val="005E5CCE"/>
    <w:rsid w:val="005E6C65"/>
    <w:rsid w:val="005F011A"/>
    <w:rsid w:val="005F03DE"/>
    <w:rsid w:val="005F094E"/>
    <w:rsid w:val="005F09A3"/>
    <w:rsid w:val="005F15D2"/>
    <w:rsid w:val="005F1F46"/>
    <w:rsid w:val="005F2157"/>
    <w:rsid w:val="005F2294"/>
    <w:rsid w:val="005F268E"/>
    <w:rsid w:val="005F3627"/>
    <w:rsid w:val="005F3AAB"/>
    <w:rsid w:val="005F4D7F"/>
    <w:rsid w:val="005F4FBA"/>
    <w:rsid w:val="005F50D0"/>
    <w:rsid w:val="005F5C5E"/>
    <w:rsid w:val="005F603F"/>
    <w:rsid w:val="005F61F0"/>
    <w:rsid w:val="005F6A4E"/>
    <w:rsid w:val="005F6DBD"/>
    <w:rsid w:val="005F718F"/>
    <w:rsid w:val="005F74BD"/>
    <w:rsid w:val="005F7911"/>
    <w:rsid w:val="005F7987"/>
    <w:rsid w:val="005F7C38"/>
    <w:rsid w:val="00601E6A"/>
    <w:rsid w:val="006025AF"/>
    <w:rsid w:val="00602AFD"/>
    <w:rsid w:val="00604418"/>
    <w:rsid w:val="00605BD5"/>
    <w:rsid w:val="006060BC"/>
    <w:rsid w:val="006062D0"/>
    <w:rsid w:val="00606375"/>
    <w:rsid w:val="00606A9F"/>
    <w:rsid w:val="0060709F"/>
    <w:rsid w:val="00607476"/>
    <w:rsid w:val="006075CD"/>
    <w:rsid w:val="00607DC1"/>
    <w:rsid w:val="006101D1"/>
    <w:rsid w:val="0061024D"/>
    <w:rsid w:val="006109E2"/>
    <w:rsid w:val="00611015"/>
    <w:rsid w:val="0061137F"/>
    <w:rsid w:val="00611AEE"/>
    <w:rsid w:val="0061218C"/>
    <w:rsid w:val="0061232E"/>
    <w:rsid w:val="0061294C"/>
    <w:rsid w:val="00612A50"/>
    <w:rsid w:val="00612CB4"/>
    <w:rsid w:val="00613B54"/>
    <w:rsid w:val="0061411D"/>
    <w:rsid w:val="00614265"/>
    <w:rsid w:val="00615906"/>
    <w:rsid w:val="0061595A"/>
    <w:rsid w:val="0061645B"/>
    <w:rsid w:val="00616E39"/>
    <w:rsid w:val="006172AE"/>
    <w:rsid w:val="00617707"/>
    <w:rsid w:val="00620641"/>
    <w:rsid w:val="006209CD"/>
    <w:rsid w:val="00620B54"/>
    <w:rsid w:val="0062122F"/>
    <w:rsid w:val="006217EB"/>
    <w:rsid w:val="00621CCB"/>
    <w:rsid w:val="00622486"/>
    <w:rsid w:val="00622A34"/>
    <w:rsid w:val="006232E0"/>
    <w:rsid w:val="006234E3"/>
    <w:rsid w:val="00623C4C"/>
    <w:rsid w:val="00624121"/>
    <w:rsid w:val="006241D1"/>
    <w:rsid w:val="00624344"/>
    <w:rsid w:val="0062446E"/>
    <w:rsid w:val="006256FC"/>
    <w:rsid w:val="00626168"/>
    <w:rsid w:val="00626174"/>
    <w:rsid w:val="00626F45"/>
    <w:rsid w:val="006275CA"/>
    <w:rsid w:val="00627CAB"/>
    <w:rsid w:val="006309A1"/>
    <w:rsid w:val="00630A3B"/>
    <w:rsid w:val="00630C1B"/>
    <w:rsid w:val="00631421"/>
    <w:rsid w:val="00631F39"/>
    <w:rsid w:val="006320D0"/>
    <w:rsid w:val="00632373"/>
    <w:rsid w:val="006326CA"/>
    <w:rsid w:val="00632791"/>
    <w:rsid w:val="00632EBA"/>
    <w:rsid w:val="00633150"/>
    <w:rsid w:val="00634C5F"/>
    <w:rsid w:val="006353AA"/>
    <w:rsid w:val="00635793"/>
    <w:rsid w:val="006358E7"/>
    <w:rsid w:val="00636519"/>
    <w:rsid w:val="006368BD"/>
    <w:rsid w:val="0063695D"/>
    <w:rsid w:val="00636A33"/>
    <w:rsid w:val="00637A55"/>
    <w:rsid w:val="00640B8B"/>
    <w:rsid w:val="0064154B"/>
    <w:rsid w:val="00641F02"/>
    <w:rsid w:val="006424E7"/>
    <w:rsid w:val="00643022"/>
    <w:rsid w:val="00643324"/>
    <w:rsid w:val="00643A1E"/>
    <w:rsid w:val="006441C3"/>
    <w:rsid w:val="00644664"/>
    <w:rsid w:val="00644715"/>
    <w:rsid w:val="00644751"/>
    <w:rsid w:val="00646289"/>
    <w:rsid w:val="00646640"/>
    <w:rsid w:val="00646721"/>
    <w:rsid w:val="00646987"/>
    <w:rsid w:val="00646D20"/>
    <w:rsid w:val="00646D4C"/>
    <w:rsid w:val="00647EBD"/>
    <w:rsid w:val="00651F7D"/>
    <w:rsid w:val="00652F2E"/>
    <w:rsid w:val="00654447"/>
    <w:rsid w:val="006557BD"/>
    <w:rsid w:val="0065746E"/>
    <w:rsid w:val="0066083F"/>
    <w:rsid w:val="006612F8"/>
    <w:rsid w:val="0066140F"/>
    <w:rsid w:val="006616C2"/>
    <w:rsid w:val="00661726"/>
    <w:rsid w:val="006617A7"/>
    <w:rsid w:val="00661D49"/>
    <w:rsid w:val="00662675"/>
    <w:rsid w:val="006630B2"/>
    <w:rsid w:val="006637A8"/>
    <w:rsid w:val="00663922"/>
    <w:rsid w:val="00664D71"/>
    <w:rsid w:val="00665A14"/>
    <w:rsid w:val="00665FF8"/>
    <w:rsid w:val="00666115"/>
    <w:rsid w:val="006661BD"/>
    <w:rsid w:val="00666BF3"/>
    <w:rsid w:val="006702FD"/>
    <w:rsid w:val="0067089F"/>
    <w:rsid w:val="00670EBE"/>
    <w:rsid w:val="00671440"/>
    <w:rsid w:val="006715D2"/>
    <w:rsid w:val="00672378"/>
    <w:rsid w:val="006732A2"/>
    <w:rsid w:val="006736FE"/>
    <w:rsid w:val="0067407E"/>
    <w:rsid w:val="00674196"/>
    <w:rsid w:val="00674A95"/>
    <w:rsid w:val="00675D5F"/>
    <w:rsid w:val="00675F3A"/>
    <w:rsid w:val="006765D8"/>
    <w:rsid w:val="006766A5"/>
    <w:rsid w:val="00677013"/>
    <w:rsid w:val="006776E9"/>
    <w:rsid w:val="006777C3"/>
    <w:rsid w:val="00677B02"/>
    <w:rsid w:val="0068005C"/>
    <w:rsid w:val="006808F3"/>
    <w:rsid w:val="00681E04"/>
    <w:rsid w:val="006825B7"/>
    <w:rsid w:val="00682819"/>
    <w:rsid w:val="00683863"/>
    <w:rsid w:val="00685037"/>
    <w:rsid w:val="006853CA"/>
    <w:rsid w:val="0068584E"/>
    <w:rsid w:val="00685B64"/>
    <w:rsid w:val="006870FF"/>
    <w:rsid w:val="0068733F"/>
    <w:rsid w:val="00687848"/>
    <w:rsid w:val="00687C47"/>
    <w:rsid w:val="00690463"/>
    <w:rsid w:val="00690527"/>
    <w:rsid w:val="00690A29"/>
    <w:rsid w:val="0069141D"/>
    <w:rsid w:val="006914B3"/>
    <w:rsid w:val="00691EBF"/>
    <w:rsid w:val="006920DE"/>
    <w:rsid w:val="006929D9"/>
    <w:rsid w:val="00692E3B"/>
    <w:rsid w:val="0069335C"/>
    <w:rsid w:val="0069355D"/>
    <w:rsid w:val="00693717"/>
    <w:rsid w:val="00693812"/>
    <w:rsid w:val="00693CF0"/>
    <w:rsid w:val="00694A53"/>
    <w:rsid w:val="00695B09"/>
    <w:rsid w:val="006962BD"/>
    <w:rsid w:val="00696398"/>
    <w:rsid w:val="006973D7"/>
    <w:rsid w:val="00697723"/>
    <w:rsid w:val="006A1C96"/>
    <w:rsid w:val="006A1E31"/>
    <w:rsid w:val="006A2A7F"/>
    <w:rsid w:val="006A3FA4"/>
    <w:rsid w:val="006A4A2E"/>
    <w:rsid w:val="006A4D6C"/>
    <w:rsid w:val="006A5037"/>
    <w:rsid w:val="006A56C5"/>
    <w:rsid w:val="006A56FE"/>
    <w:rsid w:val="006A680F"/>
    <w:rsid w:val="006A6BAA"/>
    <w:rsid w:val="006A6E56"/>
    <w:rsid w:val="006A768F"/>
    <w:rsid w:val="006A795B"/>
    <w:rsid w:val="006B0AA3"/>
    <w:rsid w:val="006B0BD4"/>
    <w:rsid w:val="006B16C4"/>
    <w:rsid w:val="006B1AB0"/>
    <w:rsid w:val="006B1FF3"/>
    <w:rsid w:val="006B23B6"/>
    <w:rsid w:val="006B23E9"/>
    <w:rsid w:val="006B283D"/>
    <w:rsid w:val="006B2E24"/>
    <w:rsid w:val="006B3730"/>
    <w:rsid w:val="006B38C8"/>
    <w:rsid w:val="006B3E81"/>
    <w:rsid w:val="006B4056"/>
    <w:rsid w:val="006B48E0"/>
    <w:rsid w:val="006B494E"/>
    <w:rsid w:val="006B4F85"/>
    <w:rsid w:val="006B5077"/>
    <w:rsid w:val="006B53F8"/>
    <w:rsid w:val="006B5805"/>
    <w:rsid w:val="006B6132"/>
    <w:rsid w:val="006B6E20"/>
    <w:rsid w:val="006B6EAA"/>
    <w:rsid w:val="006B71DE"/>
    <w:rsid w:val="006C0478"/>
    <w:rsid w:val="006C1156"/>
    <w:rsid w:val="006C16AF"/>
    <w:rsid w:val="006C18EE"/>
    <w:rsid w:val="006C1D15"/>
    <w:rsid w:val="006C1E6E"/>
    <w:rsid w:val="006C1FD6"/>
    <w:rsid w:val="006C27F1"/>
    <w:rsid w:val="006C29B3"/>
    <w:rsid w:val="006C38A2"/>
    <w:rsid w:val="006C3A19"/>
    <w:rsid w:val="006C3D25"/>
    <w:rsid w:val="006C427B"/>
    <w:rsid w:val="006C584C"/>
    <w:rsid w:val="006C5E16"/>
    <w:rsid w:val="006C7469"/>
    <w:rsid w:val="006C7DBF"/>
    <w:rsid w:val="006D01DB"/>
    <w:rsid w:val="006D0B50"/>
    <w:rsid w:val="006D2094"/>
    <w:rsid w:val="006D2227"/>
    <w:rsid w:val="006D225B"/>
    <w:rsid w:val="006D32B4"/>
    <w:rsid w:val="006D3380"/>
    <w:rsid w:val="006D4BAD"/>
    <w:rsid w:val="006D510B"/>
    <w:rsid w:val="006D5BDD"/>
    <w:rsid w:val="006D5FE8"/>
    <w:rsid w:val="006D6378"/>
    <w:rsid w:val="006D6912"/>
    <w:rsid w:val="006D7401"/>
    <w:rsid w:val="006E0028"/>
    <w:rsid w:val="006E002A"/>
    <w:rsid w:val="006E037D"/>
    <w:rsid w:val="006E0517"/>
    <w:rsid w:val="006E0540"/>
    <w:rsid w:val="006E0ED8"/>
    <w:rsid w:val="006E1663"/>
    <w:rsid w:val="006E24F0"/>
    <w:rsid w:val="006E45E7"/>
    <w:rsid w:val="006E55D0"/>
    <w:rsid w:val="006E561A"/>
    <w:rsid w:val="006E5BCF"/>
    <w:rsid w:val="006E5FDF"/>
    <w:rsid w:val="006E6190"/>
    <w:rsid w:val="006E64EF"/>
    <w:rsid w:val="006E6C47"/>
    <w:rsid w:val="006E74DF"/>
    <w:rsid w:val="006F036A"/>
    <w:rsid w:val="006F074E"/>
    <w:rsid w:val="006F0B4A"/>
    <w:rsid w:val="006F0BB8"/>
    <w:rsid w:val="006F10C5"/>
    <w:rsid w:val="006F135A"/>
    <w:rsid w:val="006F16E1"/>
    <w:rsid w:val="006F17CC"/>
    <w:rsid w:val="006F1919"/>
    <w:rsid w:val="006F1AE1"/>
    <w:rsid w:val="006F1DA6"/>
    <w:rsid w:val="006F2682"/>
    <w:rsid w:val="006F2C87"/>
    <w:rsid w:val="006F2C9F"/>
    <w:rsid w:val="006F36D8"/>
    <w:rsid w:val="006F4DD3"/>
    <w:rsid w:val="006F5973"/>
    <w:rsid w:val="006F6C01"/>
    <w:rsid w:val="006F7261"/>
    <w:rsid w:val="006F7290"/>
    <w:rsid w:val="007001B9"/>
    <w:rsid w:val="00700748"/>
    <w:rsid w:val="00701B84"/>
    <w:rsid w:val="00701E39"/>
    <w:rsid w:val="00702B8B"/>
    <w:rsid w:val="0070307B"/>
    <w:rsid w:val="007031DF"/>
    <w:rsid w:val="007043CF"/>
    <w:rsid w:val="00704418"/>
    <w:rsid w:val="007045B3"/>
    <w:rsid w:val="00704CE4"/>
    <w:rsid w:val="00705514"/>
    <w:rsid w:val="00705C48"/>
    <w:rsid w:val="00706808"/>
    <w:rsid w:val="00706C53"/>
    <w:rsid w:val="00707892"/>
    <w:rsid w:val="00710308"/>
    <w:rsid w:val="007105B4"/>
    <w:rsid w:val="00711115"/>
    <w:rsid w:val="00711945"/>
    <w:rsid w:val="00712247"/>
    <w:rsid w:val="0071228A"/>
    <w:rsid w:val="0071267B"/>
    <w:rsid w:val="00712858"/>
    <w:rsid w:val="0071307B"/>
    <w:rsid w:val="007147EC"/>
    <w:rsid w:val="00714B3D"/>
    <w:rsid w:val="00715093"/>
    <w:rsid w:val="007154A2"/>
    <w:rsid w:val="007158BD"/>
    <w:rsid w:val="00716310"/>
    <w:rsid w:val="0071677D"/>
    <w:rsid w:val="00717505"/>
    <w:rsid w:val="00717FB7"/>
    <w:rsid w:val="00720265"/>
    <w:rsid w:val="00720845"/>
    <w:rsid w:val="007210E0"/>
    <w:rsid w:val="00721572"/>
    <w:rsid w:val="007225A8"/>
    <w:rsid w:val="00722738"/>
    <w:rsid w:val="00722B0B"/>
    <w:rsid w:val="00723394"/>
    <w:rsid w:val="007244FB"/>
    <w:rsid w:val="007247CC"/>
    <w:rsid w:val="007247D1"/>
    <w:rsid w:val="00724840"/>
    <w:rsid w:val="0072493F"/>
    <w:rsid w:val="00724AB3"/>
    <w:rsid w:val="00724EE7"/>
    <w:rsid w:val="00725C37"/>
    <w:rsid w:val="007265FF"/>
    <w:rsid w:val="0072675E"/>
    <w:rsid w:val="007302C8"/>
    <w:rsid w:val="00730468"/>
    <w:rsid w:val="00730632"/>
    <w:rsid w:val="00730B8B"/>
    <w:rsid w:val="00731BE9"/>
    <w:rsid w:val="007332F2"/>
    <w:rsid w:val="00733505"/>
    <w:rsid w:val="0073380A"/>
    <w:rsid w:val="00733A00"/>
    <w:rsid w:val="00734422"/>
    <w:rsid w:val="0073551B"/>
    <w:rsid w:val="00735808"/>
    <w:rsid w:val="00735BCF"/>
    <w:rsid w:val="007364DF"/>
    <w:rsid w:val="00736C9C"/>
    <w:rsid w:val="007401BA"/>
    <w:rsid w:val="0074128C"/>
    <w:rsid w:val="00741A12"/>
    <w:rsid w:val="00741FAD"/>
    <w:rsid w:val="00742506"/>
    <w:rsid w:val="00742E4D"/>
    <w:rsid w:val="00742F86"/>
    <w:rsid w:val="007438F9"/>
    <w:rsid w:val="00743A40"/>
    <w:rsid w:val="00743E6A"/>
    <w:rsid w:val="00743FA7"/>
    <w:rsid w:val="00744305"/>
    <w:rsid w:val="007448D4"/>
    <w:rsid w:val="00744E6F"/>
    <w:rsid w:val="00745008"/>
    <w:rsid w:val="0074564E"/>
    <w:rsid w:val="00745E4A"/>
    <w:rsid w:val="00745EF7"/>
    <w:rsid w:val="00745F94"/>
    <w:rsid w:val="007476D2"/>
    <w:rsid w:val="00747A28"/>
    <w:rsid w:val="00747EFA"/>
    <w:rsid w:val="007501B6"/>
    <w:rsid w:val="007506BD"/>
    <w:rsid w:val="00751828"/>
    <w:rsid w:val="00752E77"/>
    <w:rsid w:val="0075356F"/>
    <w:rsid w:val="0075403E"/>
    <w:rsid w:val="007540EF"/>
    <w:rsid w:val="00754673"/>
    <w:rsid w:val="00754F9F"/>
    <w:rsid w:val="00755BED"/>
    <w:rsid w:val="00756410"/>
    <w:rsid w:val="00756F53"/>
    <w:rsid w:val="007575AD"/>
    <w:rsid w:val="00757E40"/>
    <w:rsid w:val="007600A1"/>
    <w:rsid w:val="007604AE"/>
    <w:rsid w:val="0076276D"/>
    <w:rsid w:val="00762F8E"/>
    <w:rsid w:val="00763B70"/>
    <w:rsid w:val="00763BB5"/>
    <w:rsid w:val="00763EF2"/>
    <w:rsid w:val="0076520E"/>
    <w:rsid w:val="00765550"/>
    <w:rsid w:val="007655E6"/>
    <w:rsid w:val="007659A4"/>
    <w:rsid w:val="00765ABB"/>
    <w:rsid w:val="00765C86"/>
    <w:rsid w:val="0076606E"/>
    <w:rsid w:val="00766074"/>
    <w:rsid w:val="007674C3"/>
    <w:rsid w:val="00767791"/>
    <w:rsid w:val="007678E2"/>
    <w:rsid w:val="0077103A"/>
    <w:rsid w:val="00771599"/>
    <w:rsid w:val="0077165F"/>
    <w:rsid w:val="0077197C"/>
    <w:rsid w:val="00771E74"/>
    <w:rsid w:val="00772841"/>
    <w:rsid w:val="007733E5"/>
    <w:rsid w:val="00773647"/>
    <w:rsid w:val="0077377C"/>
    <w:rsid w:val="00773C4D"/>
    <w:rsid w:val="00774BC1"/>
    <w:rsid w:val="00774F3C"/>
    <w:rsid w:val="007753A8"/>
    <w:rsid w:val="007759C4"/>
    <w:rsid w:val="00775D8E"/>
    <w:rsid w:val="007761A5"/>
    <w:rsid w:val="00776CEB"/>
    <w:rsid w:val="00776E01"/>
    <w:rsid w:val="00780BF5"/>
    <w:rsid w:val="00781F15"/>
    <w:rsid w:val="007828CB"/>
    <w:rsid w:val="00783FA7"/>
    <w:rsid w:val="00784194"/>
    <w:rsid w:val="0078627F"/>
    <w:rsid w:val="00786A14"/>
    <w:rsid w:val="0078745A"/>
    <w:rsid w:val="007878FB"/>
    <w:rsid w:val="00787A86"/>
    <w:rsid w:val="00787AD9"/>
    <w:rsid w:val="00787D7B"/>
    <w:rsid w:val="007901DD"/>
    <w:rsid w:val="007906BD"/>
    <w:rsid w:val="00791413"/>
    <w:rsid w:val="007916B6"/>
    <w:rsid w:val="00791930"/>
    <w:rsid w:val="007929E7"/>
    <w:rsid w:val="00792A07"/>
    <w:rsid w:val="00792AEC"/>
    <w:rsid w:val="00793673"/>
    <w:rsid w:val="007939C7"/>
    <w:rsid w:val="00795822"/>
    <w:rsid w:val="00795BCA"/>
    <w:rsid w:val="00796516"/>
    <w:rsid w:val="007A0107"/>
    <w:rsid w:val="007A065C"/>
    <w:rsid w:val="007A1FD2"/>
    <w:rsid w:val="007A2555"/>
    <w:rsid w:val="007A54A1"/>
    <w:rsid w:val="007A57B1"/>
    <w:rsid w:val="007A59C7"/>
    <w:rsid w:val="007A65D4"/>
    <w:rsid w:val="007A767C"/>
    <w:rsid w:val="007B0710"/>
    <w:rsid w:val="007B0DB7"/>
    <w:rsid w:val="007B3B97"/>
    <w:rsid w:val="007B3BF1"/>
    <w:rsid w:val="007B3C94"/>
    <w:rsid w:val="007B4941"/>
    <w:rsid w:val="007B51FD"/>
    <w:rsid w:val="007B5585"/>
    <w:rsid w:val="007B7B44"/>
    <w:rsid w:val="007C00E4"/>
    <w:rsid w:val="007C03B8"/>
    <w:rsid w:val="007C05A5"/>
    <w:rsid w:val="007C11D9"/>
    <w:rsid w:val="007C11E0"/>
    <w:rsid w:val="007C14AC"/>
    <w:rsid w:val="007C24BA"/>
    <w:rsid w:val="007C2560"/>
    <w:rsid w:val="007C29E7"/>
    <w:rsid w:val="007C3BA4"/>
    <w:rsid w:val="007C4087"/>
    <w:rsid w:val="007C40E6"/>
    <w:rsid w:val="007C4597"/>
    <w:rsid w:val="007C55BA"/>
    <w:rsid w:val="007C59FD"/>
    <w:rsid w:val="007C73AA"/>
    <w:rsid w:val="007C73BD"/>
    <w:rsid w:val="007C7D53"/>
    <w:rsid w:val="007D01CE"/>
    <w:rsid w:val="007D04A5"/>
    <w:rsid w:val="007D2558"/>
    <w:rsid w:val="007D26F9"/>
    <w:rsid w:val="007D3826"/>
    <w:rsid w:val="007D3BB0"/>
    <w:rsid w:val="007D5A8E"/>
    <w:rsid w:val="007D5CEE"/>
    <w:rsid w:val="007D65CC"/>
    <w:rsid w:val="007D7037"/>
    <w:rsid w:val="007D7541"/>
    <w:rsid w:val="007E0171"/>
    <w:rsid w:val="007E06F7"/>
    <w:rsid w:val="007E0869"/>
    <w:rsid w:val="007E1A52"/>
    <w:rsid w:val="007E233B"/>
    <w:rsid w:val="007E2A81"/>
    <w:rsid w:val="007E3359"/>
    <w:rsid w:val="007E342B"/>
    <w:rsid w:val="007E39C0"/>
    <w:rsid w:val="007E3AA2"/>
    <w:rsid w:val="007E3C28"/>
    <w:rsid w:val="007E3D2E"/>
    <w:rsid w:val="007E3E54"/>
    <w:rsid w:val="007E45FF"/>
    <w:rsid w:val="007E4E31"/>
    <w:rsid w:val="007E57AE"/>
    <w:rsid w:val="007E67F7"/>
    <w:rsid w:val="007E687C"/>
    <w:rsid w:val="007E68F9"/>
    <w:rsid w:val="007E6FD4"/>
    <w:rsid w:val="007E776F"/>
    <w:rsid w:val="007E7B56"/>
    <w:rsid w:val="007E7F19"/>
    <w:rsid w:val="007E7F54"/>
    <w:rsid w:val="007F096E"/>
    <w:rsid w:val="007F0AD3"/>
    <w:rsid w:val="007F0D2B"/>
    <w:rsid w:val="007F0DB3"/>
    <w:rsid w:val="007F115E"/>
    <w:rsid w:val="007F1AE6"/>
    <w:rsid w:val="007F29C1"/>
    <w:rsid w:val="007F3177"/>
    <w:rsid w:val="007F3209"/>
    <w:rsid w:val="007F32FC"/>
    <w:rsid w:val="007F370D"/>
    <w:rsid w:val="007F3713"/>
    <w:rsid w:val="007F3855"/>
    <w:rsid w:val="007F5200"/>
    <w:rsid w:val="007F6B24"/>
    <w:rsid w:val="007F6CA3"/>
    <w:rsid w:val="007F7D0E"/>
    <w:rsid w:val="008001C9"/>
    <w:rsid w:val="008005F5"/>
    <w:rsid w:val="008006CC"/>
    <w:rsid w:val="0080182A"/>
    <w:rsid w:val="008019F2"/>
    <w:rsid w:val="00801AB1"/>
    <w:rsid w:val="00801C74"/>
    <w:rsid w:val="00801DC6"/>
    <w:rsid w:val="00802199"/>
    <w:rsid w:val="008021E4"/>
    <w:rsid w:val="00802C37"/>
    <w:rsid w:val="00802C3F"/>
    <w:rsid w:val="00802C75"/>
    <w:rsid w:val="0080347B"/>
    <w:rsid w:val="008040C4"/>
    <w:rsid w:val="00804B11"/>
    <w:rsid w:val="00804D23"/>
    <w:rsid w:val="0080506A"/>
    <w:rsid w:val="00805699"/>
    <w:rsid w:val="00806049"/>
    <w:rsid w:val="008061E2"/>
    <w:rsid w:val="0080652B"/>
    <w:rsid w:val="00806C22"/>
    <w:rsid w:val="0080758C"/>
    <w:rsid w:val="00810317"/>
    <w:rsid w:val="0081047F"/>
    <w:rsid w:val="008105B5"/>
    <w:rsid w:val="00810F28"/>
    <w:rsid w:val="008110B2"/>
    <w:rsid w:val="0081199B"/>
    <w:rsid w:val="00811A51"/>
    <w:rsid w:val="008138C6"/>
    <w:rsid w:val="008155B9"/>
    <w:rsid w:val="0081585F"/>
    <w:rsid w:val="00816E29"/>
    <w:rsid w:val="008173DD"/>
    <w:rsid w:val="0081773C"/>
    <w:rsid w:val="0082043A"/>
    <w:rsid w:val="0082063D"/>
    <w:rsid w:val="00820E90"/>
    <w:rsid w:val="00821289"/>
    <w:rsid w:val="0082292F"/>
    <w:rsid w:val="008231D9"/>
    <w:rsid w:val="008236FF"/>
    <w:rsid w:val="00823A25"/>
    <w:rsid w:val="00823DBE"/>
    <w:rsid w:val="00824AB5"/>
    <w:rsid w:val="00825598"/>
    <w:rsid w:val="00826253"/>
    <w:rsid w:val="00827125"/>
    <w:rsid w:val="008272DC"/>
    <w:rsid w:val="00827C01"/>
    <w:rsid w:val="0083058C"/>
    <w:rsid w:val="008308FB"/>
    <w:rsid w:val="00830CEB"/>
    <w:rsid w:val="00831DF7"/>
    <w:rsid w:val="00833BF1"/>
    <w:rsid w:val="00834E31"/>
    <w:rsid w:val="00835198"/>
    <w:rsid w:val="00836044"/>
    <w:rsid w:val="00836390"/>
    <w:rsid w:val="00837E4A"/>
    <w:rsid w:val="00840202"/>
    <w:rsid w:val="008413DF"/>
    <w:rsid w:val="00841E5B"/>
    <w:rsid w:val="0084291D"/>
    <w:rsid w:val="00842993"/>
    <w:rsid w:val="00843551"/>
    <w:rsid w:val="00843EFC"/>
    <w:rsid w:val="0084435A"/>
    <w:rsid w:val="008445BA"/>
    <w:rsid w:val="008448D7"/>
    <w:rsid w:val="00844D80"/>
    <w:rsid w:val="008452C1"/>
    <w:rsid w:val="00845976"/>
    <w:rsid w:val="00845FAF"/>
    <w:rsid w:val="00847246"/>
    <w:rsid w:val="00850E90"/>
    <w:rsid w:val="008512C0"/>
    <w:rsid w:val="008519AA"/>
    <w:rsid w:val="008520EB"/>
    <w:rsid w:val="00853655"/>
    <w:rsid w:val="008538B1"/>
    <w:rsid w:val="00853E60"/>
    <w:rsid w:val="0085400A"/>
    <w:rsid w:val="00854598"/>
    <w:rsid w:val="0085502C"/>
    <w:rsid w:val="0085512A"/>
    <w:rsid w:val="00855B97"/>
    <w:rsid w:val="00855CB2"/>
    <w:rsid w:val="0085719C"/>
    <w:rsid w:val="008575A8"/>
    <w:rsid w:val="0086106B"/>
    <w:rsid w:val="00861395"/>
    <w:rsid w:val="00861CB4"/>
    <w:rsid w:val="00861F49"/>
    <w:rsid w:val="00862302"/>
    <w:rsid w:val="00862CE2"/>
    <w:rsid w:val="008648DB"/>
    <w:rsid w:val="00865174"/>
    <w:rsid w:val="00865311"/>
    <w:rsid w:val="00865F06"/>
    <w:rsid w:val="00866A65"/>
    <w:rsid w:val="00866AD7"/>
    <w:rsid w:val="00866B08"/>
    <w:rsid w:val="00866FC2"/>
    <w:rsid w:val="00867E37"/>
    <w:rsid w:val="00867F10"/>
    <w:rsid w:val="00870CE2"/>
    <w:rsid w:val="00870F57"/>
    <w:rsid w:val="008710EF"/>
    <w:rsid w:val="008715DB"/>
    <w:rsid w:val="008716E4"/>
    <w:rsid w:val="008731FF"/>
    <w:rsid w:val="008737EF"/>
    <w:rsid w:val="00874443"/>
    <w:rsid w:val="008744FC"/>
    <w:rsid w:val="0087518B"/>
    <w:rsid w:val="0087534A"/>
    <w:rsid w:val="008753B3"/>
    <w:rsid w:val="0087556E"/>
    <w:rsid w:val="008760C6"/>
    <w:rsid w:val="00876597"/>
    <w:rsid w:val="00876815"/>
    <w:rsid w:val="00876856"/>
    <w:rsid w:val="0087709F"/>
    <w:rsid w:val="008776C0"/>
    <w:rsid w:val="00877C83"/>
    <w:rsid w:val="00877CA4"/>
    <w:rsid w:val="00881A1D"/>
    <w:rsid w:val="00882831"/>
    <w:rsid w:val="00883452"/>
    <w:rsid w:val="00883BEF"/>
    <w:rsid w:val="00884393"/>
    <w:rsid w:val="00884F68"/>
    <w:rsid w:val="00886151"/>
    <w:rsid w:val="00886263"/>
    <w:rsid w:val="008867B2"/>
    <w:rsid w:val="00886AF3"/>
    <w:rsid w:val="0088735F"/>
    <w:rsid w:val="008873B9"/>
    <w:rsid w:val="0089000E"/>
    <w:rsid w:val="00890B00"/>
    <w:rsid w:val="00890B67"/>
    <w:rsid w:val="00890D84"/>
    <w:rsid w:val="00891196"/>
    <w:rsid w:val="008913E8"/>
    <w:rsid w:val="00893E34"/>
    <w:rsid w:val="0089460D"/>
    <w:rsid w:val="0089471F"/>
    <w:rsid w:val="00895AC3"/>
    <w:rsid w:val="0089625D"/>
    <w:rsid w:val="00896444"/>
    <w:rsid w:val="008970C2"/>
    <w:rsid w:val="0089745F"/>
    <w:rsid w:val="008975D0"/>
    <w:rsid w:val="00897916"/>
    <w:rsid w:val="00897944"/>
    <w:rsid w:val="00897DDC"/>
    <w:rsid w:val="008A0063"/>
    <w:rsid w:val="008A03AB"/>
    <w:rsid w:val="008A1357"/>
    <w:rsid w:val="008A1695"/>
    <w:rsid w:val="008A18D2"/>
    <w:rsid w:val="008A1DC5"/>
    <w:rsid w:val="008A1F3A"/>
    <w:rsid w:val="008A2453"/>
    <w:rsid w:val="008A2851"/>
    <w:rsid w:val="008A2904"/>
    <w:rsid w:val="008A293C"/>
    <w:rsid w:val="008A308E"/>
    <w:rsid w:val="008A4053"/>
    <w:rsid w:val="008A6112"/>
    <w:rsid w:val="008A78EF"/>
    <w:rsid w:val="008B0559"/>
    <w:rsid w:val="008B2003"/>
    <w:rsid w:val="008B2285"/>
    <w:rsid w:val="008B249F"/>
    <w:rsid w:val="008B2EE4"/>
    <w:rsid w:val="008B30CF"/>
    <w:rsid w:val="008B3528"/>
    <w:rsid w:val="008B3A1E"/>
    <w:rsid w:val="008B4362"/>
    <w:rsid w:val="008B4F3B"/>
    <w:rsid w:val="008B5657"/>
    <w:rsid w:val="008B5847"/>
    <w:rsid w:val="008B6363"/>
    <w:rsid w:val="008B6DBF"/>
    <w:rsid w:val="008B7B27"/>
    <w:rsid w:val="008B7DF0"/>
    <w:rsid w:val="008C0409"/>
    <w:rsid w:val="008C1145"/>
    <w:rsid w:val="008C12AD"/>
    <w:rsid w:val="008C176F"/>
    <w:rsid w:val="008C1812"/>
    <w:rsid w:val="008C1B28"/>
    <w:rsid w:val="008C28D5"/>
    <w:rsid w:val="008C33C5"/>
    <w:rsid w:val="008C4526"/>
    <w:rsid w:val="008C48EF"/>
    <w:rsid w:val="008C5032"/>
    <w:rsid w:val="008C5217"/>
    <w:rsid w:val="008C53EA"/>
    <w:rsid w:val="008C74EF"/>
    <w:rsid w:val="008C7CA5"/>
    <w:rsid w:val="008D04C9"/>
    <w:rsid w:val="008D073A"/>
    <w:rsid w:val="008D0E01"/>
    <w:rsid w:val="008D0F71"/>
    <w:rsid w:val="008D1303"/>
    <w:rsid w:val="008D17CF"/>
    <w:rsid w:val="008D3730"/>
    <w:rsid w:val="008D3877"/>
    <w:rsid w:val="008D418C"/>
    <w:rsid w:val="008D496D"/>
    <w:rsid w:val="008D4F42"/>
    <w:rsid w:val="008D6143"/>
    <w:rsid w:val="008D6266"/>
    <w:rsid w:val="008D63F6"/>
    <w:rsid w:val="008D671F"/>
    <w:rsid w:val="008D6971"/>
    <w:rsid w:val="008D7544"/>
    <w:rsid w:val="008D77A2"/>
    <w:rsid w:val="008D7BA0"/>
    <w:rsid w:val="008E0321"/>
    <w:rsid w:val="008E03D9"/>
    <w:rsid w:val="008E22FC"/>
    <w:rsid w:val="008E287F"/>
    <w:rsid w:val="008E2B24"/>
    <w:rsid w:val="008E3376"/>
    <w:rsid w:val="008E395E"/>
    <w:rsid w:val="008E3DD4"/>
    <w:rsid w:val="008E4079"/>
    <w:rsid w:val="008E6228"/>
    <w:rsid w:val="008E7191"/>
    <w:rsid w:val="008E7635"/>
    <w:rsid w:val="008E76D2"/>
    <w:rsid w:val="008F016A"/>
    <w:rsid w:val="008F03CF"/>
    <w:rsid w:val="008F09EC"/>
    <w:rsid w:val="008F1676"/>
    <w:rsid w:val="008F1A11"/>
    <w:rsid w:val="008F1AA6"/>
    <w:rsid w:val="008F27A4"/>
    <w:rsid w:val="008F2F8A"/>
    <w:rsid w:val="008F3261"/>
    <w:rsid w:val="008F33D8"/>
    <w:rsid w:val="008F4100"/>
    <w:rsid w:val="008F4B12"/>
    <w:rsid w:val="008F5924"/>
    <w:rsid w:val="008F5C00"/>
    <w:rsid w:val="008F7480"/>
    <w:rsid w:val="009000C9"/>
    <w:rsid w:val="00900D38"/>
    <w:rsid w:val="00902941"/>
    <w:rsid w:val="00903589"/>
    <w:rsid w:val="00904601"/>
    <w:rsid w:val="0090467B"/>
    <w:rsid w:val="00905BF9"/>
    <w:rsid w:val="009062C7"/>
    <w:rsid w:val="00906A35"/>
    <w:rsid w:val="00907351"/>
    <w:rsid w:val="0090768C"/>
    <w:rsid w:val="00910584"/>
    <w:rsid w:val="00910890"/>
    <w:rsid w:val="009108A1"/>
    <w:rsid w:val="00910A97"/>
    <w:rsid w:val="00910C57"/>
    <w:rsid w:val="00911379"/>
    <w:rsid w:val="0091138B"/>
    <w:rsid w:val="00912626"/>
    <w:rsid w:val="009135C1"/>
    <w:rsid w:val="00914414"/>
    <w:rsid w:val="009150A9"/>
    <w:rsid w:val="00915235"/>
    <w:rsid w:val="00915541"/>
    <w:rsid w:val="00917AD6"/>
    <w:rsid w:val="00920ADF"/>
    <w:rsid w:val="00920B66"/>
    <w:rsid w:val="00922B06"/>
    <w:rsid w:val="00922E27"/>
    <w:rsid w:val="00922F91"/>
    <w:rsid w:val="00923585"/>
    <w:rsid w:val="009237AF"/>
    <w:rsid w:val="00924A94"/>
    <w:rsid w:val="0092503E"/>
    <w:rsid w:val="0092539D"/>
    <w:rsid w:val="0092557B"/>
    <w:rsid w:val="00925670"/>
    <w:rsid w:val="00925FBE"/>
    <w:rsid w:val="00925FEE"/>
    <w:rsid w:val="0092610C"/>
    <w:rsid w:val="00926BBE"/>
    <w:rsid w:val="00926CF2"/>
    <w:rsid w:val="0092718A"/>
    <w:rsid w:val="0092746C"/>
    <w:rsid w:val="0093006C"/>
    <w:rsid w:val="009311A4"/>
    <w:rsid w:val="00931E69"/>
    <w:rsid w:val="00932332"/>
    <w:rsid w:val="00932877"/>
    <w:rsid w:val="0093315A"/>
    <w:rsid w:val="00933DDA"/>
    <w:rsid w:val="00933DE0"/>
    <w:rsid w:val="0093426A"/>
    <w:rsid w:val="00934E2C"/>
    <w:rsid w:val="00935E48"/>
    <w:rsid w:val="00936EE6"/>
    <w:rsid w:val="0093799A"/>
    <w:rsid w:val="00937D21"/>
    <w:rsid w:val="009409CB"/>
    <w:rsid w:val="00940AC1"/>
    <w:rsid w:val="00940F39"/>
    <w:rsid w:val="00941B64"/>
    <w:rsid w:val="00941F02"/>
    <w:rsid w:val="009435C0"/>
    <w:rsid w:val="00943D41"/>
    <w:rsid w:val="00944136"/>
    <w:rsid w:val="00944F1C"/>
    <w:rsid w:val="0094508F"/>
    <w:rsid w:val="00945325"/>
    <w:rsid w:val="009466EB"/>
    <w:rsid w:val="00946BBD"/>
    <w:rsid w:val="0094704A"/>
    <w:rsid w:val="00947102"/>
    <w:rsid w:val="0094733E"/>
    <w:rsid w:val="0094735E"/>
    <w:rsid w:val="009473F9"/>
    <w:rsid w:val="00947B82"/>
    <w:rsid w:val="00947BD7"/>
    <w:rsid w:val="00950181"/>
    <w:rsid w:val="009501EB"/>
    <w:rsid w:val="00950428"/>
    <w:rsid w:val="00951268"/>
    <w:rsid w:val="00951446"/>
    <w:rsid w:val="0095200D"/>
    <w:rsid w:val="00953B93"/>
    <w:rsid w:val="009549CA"/>
    <w:rsid w:val="00954C27"/>
    <w:rsid w:val="009554CD"/>
    <w:rsid w:val="00955DF0"/>
    <w:rsid w:val="009565F5"/>
    <w:rsid w:val="00956858"/>
    <w:rsid w:val="00956A8F"/>
    <w:rsid w:val="00960745"/>
    <w:rsid w:val="0096084C"/>
    <w:rsid w:val="00960F99"/>
    <w:rsid w:val="00961A1E"/>
    <w:rsid w:val="0096208E"/>
    <w:rsid w:val="009627F9"/>
    <w:rsid w:val="00962830"/>
    <w:rsid w:val="00963BF4"/>
    <w:rsid w:val="009640A0"/>
    <w:rsid w:val="009640AB"/>
    <w:rsid w:val="00965233"/>
    <w:rsid w:val="00965746"/>
    <w:rsid w:val="00965BB0"/>
    <w:rsid w:val="00966942"/>
    <w:rsid w:val="00966E32"/>
    <w:rsid w:val="0096709F"/>
    <w:rsid w:val="00967522"/>
    <w:rsid w:val="00967AAE"/>
    <w:rsid w:val="00971A41"/>
    <w:rsid w:val="00972D0D"/>
    <w:rsid w:val="00973E5F"/>
    <w:rsid w:val="00976B30"/>
    <w:rsid w:val="009771E2"/>
    <w:rsid w:val="0097778A"/>
    <w:rsid w:val="00977C2F"/>
    <w:rsid w:val="00977DC1"/>
    <w:rsid w:val="00980346"/>
    <w:rsid w:val="00980B39"/>
    <w:rsid w:val="00980D1F"/>
    <w:rsid w:val="009828B2"/>
    <w:rsid w:val="0098368D"/>
    <w:rsid w:val="00983851"/>
    <w:rsid w:val="00983919"/>
    <w:rsid w:val="00983DF6"/>
    <w:rsid w:val="00984459"/>
    <w:rsid w:val="00984891"/>
    <w:rsid w:val="00984C06"/>
    <w:rsid w:val="0098513B"/>
    <w:rsid w:val="00986370"/>
    <w:rsid w:val="00986FEB"/>
    <w:rsid w:val="00987028"/>
    <w:rsid w:val="009878EF"/>
    <w:rsid w:val="00987E40"/>
    <w:rsid w:val="00990602"/>
    <w:rsid w:val="0099064C"/>
    <w:rsid w:val="00990C2B"/>
    <w:rsid w:val="00991306"/>
    <w:rsid w:val="0099186B"/>
    <w:rsid w:val="009922BA"/>
    <w:rsid w:val="0099273B"/>
    <w:rsid w:val="009933E5"/>
    <w:rsid w:val="00993D91"/>
    <w:rsid w:val="009942ED"/>
    <w:rsid w:val="0099484F"/>
    <w:rsid w:val="0099597E"/>
    <w:rsid w:val="00995AC3"/>
    <w:rsid w:val="0099669E"/>
    <w:rsid w:val="009967F8"/>
    <w:rsid w:val="00996CF7"/>
    <w:rsid w:val="009975BF"/>
    <w:rsid w:val="009A034F"/>
    <w:rsid w:val="009A065F"/>
    <w:rsid w:val="009A0EEC"/>
    <w:rsid w:val="009A10CE"/>
    <w:rsid w:val="009A1CF8"/>
    <w:rsid w:val="009A1EC6"/>
    <w:rsid w:val="009A2002"/>
    <w:rsid w:val="009A2123"/>
    <w:rsid w:val="009A26B8"/>
    <w:rsid w:val="009A2B9A"/>
    <w:rsid w:val="009A35DE"/>
    <w:rsid w:val="009A3BCF"/>
    <w:rsid w:val="009A498A"/>
    <w:rsid w:val="009A4A19"/>
    <w:rsid w:val="009A4A3B"/>
    <w:rsid w:val="009A4A44"/>
    <w:rsid w:val="009A53C0"/>
    <w:rsid w:val="009A5A7C"/>
    <w:rsid w:val="009A608B"/>
    <w:rsid w:val="009A62FE"/>
    <w:rsid w:val="009A66D0"/>
    <w:rsid w:val="009A73A0"/>
    <w:rsid w:val="009A7DE2"/>
    <w:rsid w:val="009B00C2"/>
    <w:rsid w:val="009B1E68"/>
    <w:rsid w:val="009B2365"/>
    <w:rsid w:val="009B2970"/>
    <w:rsid w:val="009B3074"/>
    <w:rsid w:val="009B30BD"/>
    <w:rsid w:val="009B3884"/>
    <w:rsid w:val="009B3BD2"/>
    <w:rsid w:val="009B3E60"/>
    <w:rsid w:val="009B3F98"/>
    <w:rsid w:val="009B4960"/>
    <w:rsid w:val="009B4C2A"/>
    <w:rsid w:val="009B5509"/>
    <w:rsid w:val="009B55AD"/>
    <w:rsid w:val="009B5DC2"/>
    <w:rsid w:val="009B6860"/>
    <w:rsid w:val="009B6FFC"/>
    <w:rsid w:val="009B70D8"/>
    <w:rsid w:val="009B743B"/>
    <w:rsid w:val="009B7A1F"/>
    <w:rsid w:val="009C03C8"/>
    <w:rsid w:val="009C0907"/>
    <w:rsid w:val="009C25DF"/>
    <w:rsid w:val="009C29DE"/>
    <w:rsid w:val="009C2B1F"/>
    <w:rsid w:val="009C4CFC"/>
    <w:rsid w:val="009C4D0E"/>
    <w:rsid w:val="009C4E51"/>
    <w:rsid w:val="009C5A9D"/>
    <w:rsid w:val="009C5EA5"/>
    <w:rsid w:val="009C635B"/>
    <w:rsid w:val="009C650A"/>
    <w:rsid w:val="009C671D"/>
    <w:rsid w:val="009C6909"/>
    <w:rsid w:val="009C6AE9"/>
    <w:rsid w:val="009C6DF9"/>
    <w:rsid w:val="009C7538"/>
    <w:rsid w:val="009C7AF1"/>
    <w:rsid w:val="009C7D93"/>
    <w:rsid w:val="009D00E4"/>
    <w:rsid w:val="009D0741"/>
    <w:rsid w:val="009D0B3C"/>
    <w:rsid w:val="009D0C99"/>
    <w:rsid w:val="009D163D"/>
    <w:rsid w:val="009D1A5D"/>
    <w:rsid w:val="009D2F73"/>
    <w:rsid w:val="009D366B"/>
    <w:rsid w:val="009D3A84"/>
    <w:rsid w:val="009D49FB"/>
    <w:rsid w:val="009D5710"/>
    <w:rsid w:val="009D658E"/>
    <w:rsid w:val="009D6FCB"/>
    <w:rsid w:val="009E01E0"/>
    <w:rsid w:val="009E0485"/>
    <w:rsid w:val="009E0C45"/>
    <w:rsid w:val="009E0CB8"/>
    <w:rsid w:val="009E0D63"/>
    <w:rsid w:val="009E17F2"/>
    <w:rsid w:val="009E21C2"/>
    <w:rsid w:val="009E2269"/>
    <w:rsid w:val="009E3442"/>
    <w:rsid w:val="009E444C"/>
    <w:rsid w:val="009E6473"/>
    <w:rsid w:val="009E6476"/>
    <w:rsid w:val="009F02B8"/>
    <w:rsid w:val="009F0A8F"/>
    <w:rsid w:val="009F0E7D"/>
    <w:rsid w:val="009F1520"/>
    <w:rsid w:val="009F19E4"/>
    <w:rsid w:val="009F202D"/>
    <w:rsid w:val="009F2813"/>
    <w:rsid w:val="009F29AA"/>
    <w:rsid w:val="009F2F7F"/>
    <w:rsid w:val="009F30AD"/>
    <w:rsid w:val="009F33D5"/>
    <w:rsid w:val="009F3745"/>
    <w:rsid w:val="009F3EB9"/>
    <w:rsid w:val="009F40E1"/>
    <w:rsid w:val="009F4E90"/>
    <w:rsid w:val="009F701F"/>
    <w:rsid w:val="009F76A9"/>
    <w:rsid w:val="009F7D02"/>
    <w:rsid w:val="00A005DB"/>
    <w:rsid w:val="00A01021"/>
    <w:rsid w:val="00A012A3"/>
    <w:rsid w:val="00A019FB"/>
    <w:rsid w:val="00A01C36"/>
    <w:rsid w:val="00A01D22"/>
    <w:rsid w:val="00A022D7"/>
    <w:rsid w:val="00A029EB"/>
    <w:rsid w:val="00A02EE0"/>
    <w:rsid w:val="00A02F1C"/>
    <w:rsid w:val="00A0356F"/>
    <w:rsid w:val="00A0369E"/>
    <w:rsid w:val="00A03B66"/>
    <w:rsid w:val="00A03E03"/>
    <w:rsid w:val="00A04A46"/>
    <w:rsid w:val="00A052FA"/>
    <w:rsid w:val="00A0607D"/>
    <w:rsid w:val="00A07968"/>
    <w:rsid w:val="00A10F73"/>
    <w:rsid w:val="00A116CD"/>
    <w:rsid w:val="00A121E0"/>
    <w:rsid w:val="00A12736"/>
    <w:rsid w:val="00A13228"/>
    <w:rsid w:val="00A139D3"/>
    <w:rsid w:val="00A152E9"/>
    <w:rsid w:val="00A15A5F"/>
    <w:rsid w:val="00A15BEC"/>
    <w:rsid w:val="00A15E1E"/>
    <w:rsid w:val="00A16138"/>
    <w:rsid w:val="00A1631F"/>
    <w:rsid w:val="00A1655C"/>
    <w:rsid w:val="00A16AA9"/>
    <w:rsid w:val="00A1766B"/>
    <w:rsid w:val="00A20169"/>
    <w:rsid w:val="00A2074F"/>
    <w:rsid w:val="00A2078B"/>
    <w:rsid w:val="00A20FB9"/>
    <w:rsid w:val="00A20FD1"/>
    <w:rsid w:val="00A214D8"/>
    <w:rsid w:val="00A21C02"/>
    <w:rsid w:val="00A2200F"/>
    <w:rsid w:val="00A2201B"/>
    <w:rsid w:val="00A22476"/>
    <w:rsid w:val="00A22725"/>
    <w:rsid w:val="00A22A6B"/>
    <w:rsid w:val="00A230B1"/>
    <w:rsid w:val="00A235C7"/>
    <w:rsid w:val="00A2499C"/>
    <w:rsid w:val="00A25292"/>
    <w:rsid w:val="00A25309"/>
    <w:rsid w:val="00A25351"/>
    <w:rsid w:val="00A2653C"/>
    <w:rsid w:val="00A26B4F"/>
    <w:rsid w:val="00A26F97"/>
    <w:rsid w:val="00A273C6"/>
    <w:rsid w:val="00A27465"/>
    <w:rsid w:val="00A27523"/>
    <w:rsid w:val="00A279DA"/>
    <w:rsid w:val="00A30010"/>
    <w:rsid w:val="00A307CD"/>
    <w:rsid w:val="00A30F1E"/>
    <w:rsid w:val="00A31BA8"/>
    <w:rsid w:val="00A32497"/>
    <w:rsid w:val="00A32DFF"/>
    <w:rsid w:val="00A333D5"/>
    <w:rsid w:val="00A333E4"/>
    <w:rsid w:val="00A343FF"/>
    <w:rsid w:val="00A35DF9"/>
    <w:rsid w:val="00A364B3"/>
    <w:rsid w:val="00A37139"/>
    <w:rsid w:val="00A41A84"/>
    <w:rsid w:val="00A41CE6"/>
    <w:rsid w:val="00A41D09"/>
    <w:rsid w:val="00A41D62"/>
    <w:rsid w:val="00A41F6E"/>
    <w:rsid w:val="00A42069"/>
    <w:rsid w:val="00A426A1"/>
    <w:rsid w:val="00A43680"/>
    <w:rsid w:val="00A4420E"/>
    <w:rsid w:val="00A4483A"/>
    <w:rsid w:val="00A44E2C"/>
    <w:rsid w:val="00A45332"/>
    <w:rsid w:val="00A45A76"/>
    <w:rsid w:val="00A46FC2"/>
    <w:rsid w:val="00A4724A"/>
    <w:rsid w:val="00A47911"/>
    <w:rsid w:val="00A500A8"/>
    <w:rsid w:val="00A5112D"/>
    <w:rsid w:val="00A512BD"/>
    <w:rsid w:val="00A52C9A"/>
    <w:rsid w:val="00A52D89"/>
    <w:rsid w:val="00A52ECD"/>
    <w:rsid w:val="00A534EF"/>
    <w:rsid w:val="00A53D11"/>
    <w:rsid w:val="00A544DA"/>
    <w:rsid w:val="00A5465A"/>
    <w:rsid w:val="00A5475D"/>
    <w:rsid w:val="00A54760"/>
    <w:rsid w:val="00A55650"/>
    <w:rsid w:val="00A5568A"/>
    <w:rsid w:val="00A5587A"/>
    <w:rsid w:val="00A567FB"/>
    <w:rsid w:val="00A56A88"/>
    <w:rsid w:val="00A57014"/>
    <w:rsid w:val="00A57CB7"/>
    <w:rsid w:val="00A6033C"/>
    <w:rsid w:val="00A60965"/>
    <w:rsid w:val="00A60FBC"/>
    <w:rsid w:val="00A610F2"/>
    <w:rsid w:val="00A611E8"/>
    <w:rsid w:val="00A61FB9"/>
    <w:rsid w:val="00A6392A"/>
    <w:rsid w:val="00A644E4"/>
    <w:rsid w:val="00A649E5"/>
    <w:rsid w:val="00A650DE"/>
    <w:rsid w:val="00A65478"/>
    <w:rsid w:val="00A6550A"/>
    <w:rsid w:val="00A6579C"/>
    <w:rsid w:val="00A65A32"/>
    <w:rsid w:val="00A65B5B"/>
    <w:rsid w:val="00A65BE1"/>
    <w:rsid w:val="00A65E97"/>
    <w:rsid w:val="00A7020B"/>
    <w:rsid w:val="00A70789"/>
    <w:rsid w:val="00A70970"/>
    <w:rsid w:val="00A70B69"/>
    <w:rsid w:val="00A70DB8"/>
    <w:rsid w:val="00A71D69"/>
    <w:rsid w:val="00A720A1"/>
    <w:rsid w:val="00A72304"/>
    <w:rsid w:val="00A728C6"/>
    <w:rsid w:val="00A7343D"/>
    <w:rsid w:val="00A7357A"/>
    <w:rsid w:val="00A73C0F"/>
    <w:rsid w:val="00A73CB1"/>
    <w:rsid w:val="00A73F57"/>
    <w:rsid w:val="00A741C9"/>
    <w:rsid w:val="00A74D81"/>
    <w:rsid w:val="00A751CF"/>
    <w:rsid w:val="00A7677B"/>
    <w:rsid w:val="00A76F52"/>
    <w:rsid w:val="00A772EC"/>
    <w:rsid w:val="00A77B06"/>
    <w:rsid w:val="00A80679"/>
    <w:rsid w:val="00A80C29"/>
    <w:rsid w:val="00A82B5F"/>
    <w:rsid w:val="00A832C7"/>
    <w:rsid w:val="00A83538"/>
    <w:rsid w:val="00A839A6"/>
    <w:rsid w:val="00A847B2"/>
    <w:rsid w:val="00A84B98"/>
    <w:rsid w:val="00A858AD"/>
    <w:rsid w:val="00A859DD"/>
    <w:rsid w:val="00A868F1"/>
    <w:rsid w:val="00A873A2"/>
    <w:rsid w:val="00A87402"/>
    <w:rsid w:val="00A91273"/>
    <w:rsid w:val="00A91F21"/>
    <w:rsid w:val="00A9267C"/>
    <w:rsid w:val="00A92CC7"/>
    <w:rsid w:val="00A9340E"/>
    <w:rsid w:val="00A93528"/>
    <w:rsid w:val="00A93DDD"/>
    <w:rsid w:val="00A94304"/>
    <w:rsid w:val="00A949D1"/>
    <w:rsid w:val="00A94A25"/>
    <w:rsid w:val="00A94F51"/>
    <w:rsid w:val="00A951A7"/>
    <w:rsid w:val="00A95221"/>
    <w:rsid w:val="00A97C09"/>
    <w:rsid w:val="00A97EAC"/>
    <w:rsid w:val="00A97F6E"/>
    <w:rsid w:val="00AA0547"/>
    <w:rsid w:val="00AA0BE2"/>
    <w:rsid w:val="00AA0E1F"/>
    <w:rsid w:val="00AA2395"/>
    <w:rsid w:val="00AA487E"/>
    <w:rsid w:val="00AA5475"/>
    <w:rsid w:val="00AA56E8"/>
    <w:rsid w:val="00AA5B1B"/>
    <w:rsid w:val="00AA5C71"/>
    <w:rsid w:val="00AA5C8E"/>
    <w:rsid w:val="00AA5CB3"/>
    <w:rsid w:val="00AA66A5"/>
    <w:rsid w:val="00AA69D2"/>
    <w:rsid w:val="00AA70B8"/>
    <w:rsid w:val="00AA7ED9"/>
    <w:rsid w:val="00AB050D"/>
    <w:rsid w:val="00AB08A6"/>
    <w:rsid w:val="00AB163F"/>
    <w:rsid w:val="00AB26AF"/>
    <w:rsid w:val="00AB2AEA"/>
    <w:rsid w:val="00AB3300"/>
    <w:rsid w:val="00AB3C3C"/>
    <w:rsid w:val="00AB4D9C"/>
    <w:rsid w:val="00AB588B"/>
    <w:rsid w:val="00AB5A0B"/>
    <w:rsid w:val="00AB5BA4"/>
    <w:rsid w:val="00AB6351"/>
    <w:rsid w:val="00AB6C65"/>
    <w:rsid w:val="00AB7FDC"/>
    <w:rsid w:val="00AC032B"/>
    <w:rsid w:val="00AC1D9A"/>
    <w:rsid w:val="00AC249D"/>
    <w:rsid w:val="00AC25FC"/>
    <w:rsid w:val="00AC2FBC"/>
    <w:rsid w:val="00AC33F7"/>
    <w:rsid w:val="00AC3428"/>
    <w:rsid w:val="00AC3536"/>
    <w:rsid w:val="00AC487C"/>
    <w:rsid w:val="00AC502A"/>
    <w:rsid w:val="00AC569F"/>
    <w:rsid w:val="00AC5952"/>
    <w:rsid w:val="00AC5A08"/>
    <w:rsid w:val="00AC5CD9"/>
    <w:rsid w:val="00AC60CE"/>
    <w:rsid w:val="00AC6DB1"/>
    <w:rsid w:val="00AC7182"/>
    <w:rsid w:val="00AC7234"/>
    <w:rsid w:val="00AC7931"/>
    <w:rsid w:val="00AC7AA0"/>
    <w:rsid w:val="00AD0307"/>
    <w:rsid w:val="00AD1EDD"/>
    <w:rsid w:val="00AD23E9"/>
    <w:rsid w:val="00AD37F6"/>
    <w:rsid w:val="00AD3CFB"/>
    <w:rsid w:val="00AD5841"/>
    <w:rsid w:val="00AD5B8F"/>
    <w:rsid w:val="00AD60D2"/>
    <w:rsid w:val="00AD61F1"/>
    <w:rsid w:val="00AD653E"/>
    <w:rsid w:val="00AD67CF"/>
    <w:rsid w:val="00AD7692"/>
    <w:rsid w:val="00AD7E49"/>
    <w:rsid w:val="00AD7E5A"/>
    <w:rsid w:val="00AE1E5D"/>
    <w:rsid w:val="00AE38F8"/>
    <w:rsid w:val="00AE49A9"/>
    <w:rsid w:val="00AE53DF"/>
    <w:rsid w:val="00AE566C"/>
    <w:rsid w:val="00AE5A15"/>
    <w:rsid w:val="00AF0112"/>
    <w:rsid w:val="00AF025F"/>
    <w:rsid w:val="00AF0392"/>
    <w:rsid w:val="00AF0640"/>
    <w:rsid w:val="00AF08EF"/>
    <w:rsid w:val="00AF10B2"/>
    <w:rsid w:val="00AF11E1"/>
    <w:rsid w:val="00AF1B62"/>
    <w:rsid w:val="00AF221C"/>
    <w:rsid w:val="00AF2634"/>
    <w:rsid w:val="00AF2687"/>
    <w:rsid w:val="00AF299A"/>
    <w:rsid w:val="00AF2A1D"/>
    <w:rsid w:val="00AF2B66"/>
    <w:rsid w:val="00AF2CA6"/>
    <w:rsid w:val="00AF33D2"/>
    <w:rsid w:val="00AF3CC5"/>
    <w:rsid w:val="00AF44CC"/>
    <w:rsid w:val="00AF50AB"/>
    <w:rsid w:val="00AF5148"/>
    <w:rsid w:val="00AF5909"/>
    <w:rsid w:val="00AF5AE4"/>
    <w:rsid w:val="00AF6B05"/>
    <w:rsid w:val="00AF6E27"/>
    <w:rsid w:val="00AF75EA"/>
    <w:rsid w:val="00AF78D5"/>
    <w:rsid w:val="00AF7C6C"/>
    <w:rsid w:val="00AF7D88"/>
    <w:rsid w:val="00AF7FEF"/>
    <w:rsid w:val="00B003F2"/>
    <w:rsid w:val="00B013B1"/>
    <w:rsid w:val="00B01C5A"/>
    <w:rsid w:val="00B03641"/>
    <w:rsid w:val="00B03BA9"/>
    <w:rsid w:val="00B04641"/>
    <w:rsid w:val="00B071E1"/>
    <w:rsid w:val="00B076FF"/>
    <w:rsid w:val="00B07A96"/>
    <w:rsid w:val="00B101FF"/>
    <w:rsid w:val="00B11E4B"/>
    <w:rsid w:val="00B129C5"/>
    <w:rsid w:val="00B12C98"/>
    <w:rsid w:val="00B12EC5"/>
    <w:rsid w:val="00B139A4"/>
    <w:rsid w:val="00B13D65"/>
    <w:rsid w:val="00B14050"/>
    <w:rsid w:val="00B14C44"/>
    <w:rsid w:val="00B15E9E"/>
    <w:rsid w:val="00B16835"/>
    <w:rsid w:val="00B17336"/>
    <w:rsid w:val="00B205A9"/>
    <w:rsid w:val="00B20A45"/>
    <w:rsid w:val="00B20C2B"/>
    <w:rsid w:val="00B2274A"/>
    <w:rsid w:val="00B22B6D"/>
    <w:rsid w:val="00B23A39"/>
    <w:rsid w:val="00B23EFF"/>
    <w:rsid w:val="00B25CF3"/>
    <w:rsid w:val="00B25E9C"/>
    <w:rsid w:val="00B2637E"/>
    <w:rsid w:val="00B26726"/>
    <w:rsid w:val="00B27053"/>
    <w:rsid w:val="00B2784B"/>
    <w:rsid w:val="00B27D83"/>
    <w:rsid w:val="00B27F10"/>
    <w:rsid w:val="00B2F700"/>
    <w:rsid w:val="00B311B9"/>
    <w:rsid w:val="00B313FB"/>
    <w:rsid w:val="00B3199E"/>
    <w:rsid w:val="00B323F2"/>
    <w:rsid w:val="00B32449"/>
    <w:rsid w:val="00B32E1B"/>
    <w:rsid w:val="00B3356B"/>
    <w:rsid w:val="00B33737"/>
    <w:rsid w:val="00B33A20"/>
    <w:rsid w:val="00B33DE0"/>
    <w:rsid w:val="00B342B9"/>
    <w:rsid w:val="00B34894"/>
    <w:rsid w:val="00B34A9A"/>
    <w:rsid w:val="00B35A53"/>
    <w:rsid w:val="00B35DB2"/>
    <w:rsid w:val="00B36048"/>
    <w:rsid w:val="00B36879"/>
    <w:rsid w:val="00B3698F"/>
    <w:rsid w:val="00B36CC6"/>
    <w:rsid w:val="00B37D28"/>
    <w:rsid w:val="00B4032C"/>
    <w:rsid w:val="00B40E11"/>
    <w:rsid w:val="00B417E1"/>
    <w:rsid w:val="00B41CC3"/>
    <w:rsid w:val="00B42107"/>
    <w:rsid w:val="00B42F3A"/>
    <w:rsid w:val="00B43235"/>
    <w:rsid w:val="00B43870"/>
    <w:rsid w:val="00B43EC7"/>
    <w:rsid w:val="00B43F9B"/>
    <w:rsid w:val="00B445E0"/>
    <w:rsid w:val="00B45286"/>
    <w:rsid w:val="00B45B9E"/>
    <w:rsid w:val="00B45BDC"/>
    <w:rsid w:val="00B45D9D"/>
    <w:rsid w:val="00B4792A"/>
    <w:rsid w:val="00B47D58"/>
    <w:rsid w:val="00B50B5C"/>
    <w:rsid w:val="00B50BA8"/>
    <w:rsid w:val="00B5119C"/>
    <w:rsid w:val="00B52111"/>
    <w:rsid w:val="00B5300F"/>
    <w:rsid w:val="00B541B9"/>
    <w:rsid w:val="00B54C53"/>
    <w:rsid w:val="00B617B4"/>
    <w:rsid w:val="00B61BB7"/>
    <w:rsid w:val="00B634BC"/>
    <w:rsid w:val="00B65484"/>
    <w:rsid w:val="00B6592E"/>
    <w:rsid w:val="00B65CB7"/>
    <w:rsid w:val="00B663B0"/>
    <w:rsid w:val="00B6658D"/>
    <w:rsid w:val="00B66785"/>
    <w:rsid w:val="00B66CF8"/>
    <w:rsid w:val="00B66DE8"/>
    <w:rsid w:val="00B674C6"/>
    <w:rsid w:val="00B67D2E"/>
    <w:rsid w:val="00B71A7D"/>
    <w:rsid w:val="00B7272E"/>
    <w:rsid w:val="00B72FA0"/>
    <w:rsid w:val="00B73243"/>
    <w:rsid w:val="00B73DE0"/>
    <w:rsid w:val="00B74080"/>
    <w:rsid w:val="00B74709"/>
    <w:rsid w:val="00B74843"/>
    <w:rsid w:val="00B7512D"/>
    <w:rsid w:val="00B75222"/>
    <w:rsid w:val="00B75544"/>
    <w:rsid w:val="00B758F5"/>
    <w:rsid w:val="00B7590E"/>
    <w:rsid w:val="00B764BC"/>
    <w:rsid w:val="00B766ED"/>
    <w:rsid w:val="00B76950"/>
    <w:rsid w:val="00B76C58"/>
    <w:rsid w:val="00B77050"/>
    <w:rsid w:val="00B77611"/>
    <w:rsid w:val="00B77EC7"/>
    <w:rsid w:val="00B802FE"/>
    <w:rsid w:val="00B810D9"/>
    <w:rsid w:val="00B81192"/>
    <w:rsid w:val="00B81834"/>
    <w:rsid w:val="00B81994"/>
    <w:rsid w:val="00B8275C"/>
    <w:rsid w:val="00B8363D"/>
    <w:rsid w:val="00B84C65"/>
    <w:rsid w:val="00B8691D"/>
    <w:rsid w:val="00B87397"/>
    <w:rsid w:val="00B9059F"/>
    <w:rsid w:val="00B90B98"/>
    <w:rsid w:val="00B91666"/>
    <w:rsid w:val="00B92C39"/>
    <w:rsid w:val="00B95CA0"/>
    <w:rsid w:val="00B965CC"/>
    <w:rsid w:val="00B96990"/>
    <w:rsid w:val="00B96DD0"/>
    <w:rsid w:val="00B96E23"/>
    <w:rsid w:val="00BA0109"/>
    <w:rsid w:val="00BA1626"/>
    <w:rsid w:val="00BA1719"/>
    <w:rsid w:val="00BA1A81"/>
    <w:rsid w:val="00BA2BAF"/>
    <w:rsid w:val="00BA2CAF"/>
    <w:rsid w:val="00BA3473"/>
    <w:rsid w:val="00BA35A7"/>
    <w:rsid w:val="00BA3EE1"/>
    <w:rsid w:val="00BA3F57"/>
    <w:rsid w:val="00BA477D"/>
    <w:rsid w:val="00BA48B7"/>
    <w:rsid w:val="00BA531E"/>
    <w:rsid w:val="00BA6E9D"/>
    <w:rsid w:val="00BA79B9"/>
    <w:rsid w:val="00BB01F3"/>
    <w:rsid w:val="00BB0237"/>
    <w:rsid w:val="00BB0DA8"/>
    <w:rsid w:val="00BB18F3"/>
    <w:rsid w:val="00BB2EB3"/>
    <w:rsid w:val="00BB3471"/>
    <w:rsid w:val="00BB3642"/>
    <w:rsid w:val="00BB38A9"/>
    <w:rsid w:val="00BB3A4E"/>
    <w:rsid w:val="00BB3EC7"/>
    <w:rsid w:val="00BB4870"/>
    <w:rsid w:val="00BB513F"/>
    <w:rsid w:val="00BB64E4"/>
    <w:rsid w:val="00BB6AF9"/>
    <w:rsid w:val="00BB7632"/>
    <w:rsid w:val="00BB7B9E"/>
    <w:rsid w:val="00BC0976"/>
    <w:rsid w:val="00BC1612"/>
    <w:rsid w:val="00BC20D8"/>
    <w:rsid w:val="00BC240D"/>
    <w:rsid w:val="00BC34DA"/>
    <w:rsid w:val="00BC3B7A"/>
    <w:rsid w:val="00BC3F14"/>
    <w:rsid w:val="00BC4B62"/>
    <w:rsid w:val="00BC4C52"/>
    <w:rsid w:val="00BC574B"/>
    <w:rsid w:val="00BC63CD"/>
    <w:rsid w:val="00BC7895"/>
    <w:rsid w:val="00BC7C11"/>
    <w:rsid w:val="00BD0216"/>
    <w:rsid w:val="00BD1023"/>
    <w:rsid w:val="00BD1A15"/>
    <w:rsid w:val="00BD20DB"/>
    <w:rsid w:val="00BD2B2A"/>
    <w:rsid w:val="00BD2B59"/>
    <w:rsid w:val="00BD2BE0"/>
    <w:rsid w:val="00BD2C04"/>
    <w:rsid w:val="00BD2F71"/>
    <w:rsid w:val="00BD56FE"/>
    <w:rsid w:val="00BD5899"/>
    <w:rsid w:val="00BD5CED"/>
    <w:rsid w:val="00BD5FB6"/>
    <w:rsid w:val="00BD6BCF"/>
    <w:rsid w:val="00BD7D88"/>
    <w:rsid w:val="00BE136C"/>
    <w:rsid w:val="00BE1759"/>
    <w:rsid w:val="00BE1F27"/>
    <w:rsid w:val="00BE2189"/>
    <w:rsid w:val="00BE2B38"/>
    <w:rsid w:val="00BE326B"/>
    <w:rsid w:val="00BE32DE"/>
    <w:rsid w:val="00BE383F"/>
    <w:rsid w:val="00BE3A51"/>
    <w:rsid w:val="00BE477D"/>
    <w:rsid w:val="00BE4F42"/>
    <w:rsid w:val="00BE50B2"/>
    <w:rsid w:val="00BE5C35"/>
    <w:rsid w:val="00BE5CA9"/>
    <w:rsid w:val="00BE5FB1"/>
    <w:rsid w:val="00BE63B6"/>
    <w:rsid w:val="00BE6774"/>
    <w:rsid w:val="00BE6841"/>
    <w:rsid w:val="00BE6860"/>
    <w:rsid w:val="00BE7A1C"/>
    <w:rsid w:val="00BE7D86"/>
    <w:rsid w:val="00BF08CC"/>
    <w:rsid w:val="00BF0A4F"/>
    <w:rsid w:val="00BF0AB0"/>
    <w:rsid w:val="00BF0B3D"/>
    <w:rsid w:val="00BF2951"/>
    <w:rsid w:val="00BF36D6"/>
    <w:rsid w:val="00BF4816"/>
    <w:rsid w:val="00BF582F"/>
    <w:rsid w:val="00BF5ABE"/>
    <w:rsid w:val="00BF67E5"/>
    <w:rsid w:val="00BF7531"/>
    <w:rsid w:val="00BF7BEA"/>
    <w:rsid w:val="00C00B6A"/>
    <w:rsid w:val="00C0192A"/>
    <w:rsid w:val="00C01B49"/>
    <w:rsid w:val="00C01C52"/>
    <w:rsid w:val="00C02A97"/>
    <w:rsid w:val="00C031AB"/>
    <w:rsid w:val="00C0394A"/>
    <w:rsid w:val="00C039D0"/>
    <w:rsid w:val="00C04079"/>
    <w:rsid w:val="00C05AF4"/>
    <w:rsid w:val="00C065D2"/>
    <w:rsid w:val="00C06A89"/>
    <w:rsid w:val="00C06D98"/>
    <w:rsid w:val="00C06E13"/>
    <w:rsid w:val="00C0771C"/>
    <w:rsid w:val="00C077B3"/>
    <w:rsid w:val="00C07D66"/>
    <w:rsid w:val="00C1069F"/>
    <w:rsid w:val="00C109D6"/>
    <w:rsid w:val="00C126FB"/>
    <w:rsid w:val="00C1285B"/>
    <w:rsid w:val="00C12ED2"/>
    <w:rsid w:val="00C132FB"/>
    <w:rsid w:val="00C14AF9"/>
    <w:rsid w:val="00C150A3"/>
    <w:rsid w:val="00C15DDE"/>
    <w:rsid w:val="00C16A8B"/>
    <w:rsid w:val="00C16B36"/>
    <w:rsid w:val="00C16C39"/>
    <w:rsid w:val="00C16C6C"/>
    <w:rsid w:val="00C17258"/>
    <w:rsid w:val="00C17CF0"/>
    <w:rsid w:val="00C20A1F"/>
    <w:rsid w:val="00C20AC8"/>
    <w:rsid w:val="00C217CB"/>
    <w:rsid w:val="00C21D21"/>
    <w:rsid w:val="00C2213C"/>
    <w:rsid w:val="00C23004"/>
    <w:rsid w:val="00C235B9"/>
    <w:rsid w:val="00C23E1B"/>
    <w:rsid w:val="00C23E60"/>
    <w:rsid w:val="00C245E3"/>
    <w:rsid w:val="00C249DF"/>
    <w:rsid w:val="00C25993"/>
    <w:rsid w:val="00C25E83"/>
    <w:rsid w:val="00C26AC1"/>
    <w:rsid w:val="00C26BB3"/>
    <w:rsid w:val="00C26D67"/>
    <w:rsid w:val="00C27272"/>
    <w:rsid w:val="00C27442"/>
    <w:rsid w:val="00C27EB3"/>
    <w:rsid w:val="00C306F0"/>
    <w:rsid w:val="00C30CB8"/>
    <w:rsid w:val="00C30FC4"/>
    <w:rsid w:val="00C31FC9"/>
    <w:rsid w:val="00C32EFE"/>
    <w:rsid w:val="00C33124"/>
    <w:rsid w:val="00C33191"/>
    <w:rsid w:val="00C34432"/>
    <w:rsid w:val="00C3464B"/>
    <w:rsid w:val="00C34D94"/>
    <w:rsid w:val="00C35C33"/>
    <w:rsid w:val="00C3639E"/>
    <w:rsid w:val="00C36625"/>
    <w:rsid w:val="00C36878"/>
    <w:rsid w:val="00C375E8"/>
    <w:rsid w:val="00C37B62"/>
    <w:rsid w:val="00C40073"/>
    <w:rsid w:val="00C4274F"/>
    <w:rsid w:val="00C429E2"/>
    <w:rsid w:val="00C42C6F"/>
    <w:rsid w:val="00C441B9"/>
    <w:rsid w:val="00C44B8D"/>
    <w:rsid w:val="00C45264"/>
    <w:rsid w:val="00C45292"/>
    <w:rsid w:val="00C45825"/>
    <w:rsid w:val="00C45AA7"/>
    <w:rsid w:val="00C4704A"/>
    <w:rsid w:val="00C47C90"/>
    <w:rsid w:val="00C51360"/>
    <w:rsid w:val="00C51B50"/>
    <w:rsid w:val="00C52539"/>
    <w:rsid w:val="00C55B71"/>
    <w:rsid w:val="00C55F5C"/>
    <w:rsid w:val="00C564D0"/>
    <w:rsid w:val="00C57365"/>
    <w:rsid w:val="00C57813"/>
    <w:rsid w:val="00C57EBC"/>
    <w:rsid w:val="00C60546"/>
    <w:rsid w:val="00C607C0"/>
    <w:rsid w:val="00C60846"/>
    <w:rsid w:val="00C60A34"/>
    <w:rsid w:val="00C60E51"/>
    <w:rsid w:val="00C6113A"/>
    <w:rsid w:val="00C61A3E"/>
    <w:rsid w:val="00C61E30"/>
    <w:rsid w:val="00C625F5"/>
    <w:rsid w:val="00C62863"/>
    <w:rsid w:val="00C62FB9"/>
    <w:rsid w:val="00C6305B"/>
    <w:rsid w:val="00C63808"/>
    <w:rsid w:val="00C64534"/>
    <w:rsid w:val="00C6597C"/>
    <w:rsid w:val="00C65ABC"/>
    <w:rsid w:val="00C6658A"/>
    <w:rsid w:val="00C6679C"/>
    <w:rsid w:val="00C66BA4"/>
    <w:rsid w:val="00C673FF"/>
    <w:rsid w:val="00C70BD8"/>
    <w:rsid w:val="00C71503"/>
    <w:rsid w:val="00C721F4"/>
    <w:rsid w:val="00C72BA2"/>
    <w:rsid w:val="00C72DFB"/>
    <w:rsid w:val="00C72FF5"/>
    <w:rsid w:val="00C74322"/>
    <w:rsid w:val="00C743D1"/>
    <w:rsid w:val="00C748E9"/>
    <w:rsid w:val="00C7492D"/>
    <w:rsid w:val="00C7588C"/>
    <w:rsid w:val="00C75A17"/>
    <w:rsid w:val="00C765E3"/>
    <w:rsid w:val="00C771D7"/>
    <w:rsid w:val="00C771E1"/>
    <w:rsid w:val="00C77C33"/>
    <w:rsid w:val="00C8026D"/>
    <w:rsid w:val="00C803B1"/>
    <w:rsid w:val="00C818BA"/>
    <w:rsid w:val="00C820ED"/>
    <w:rsid w:val="00C823AE"/>
    <w:rsid w:val="00C8292D"/>
    <w:rsid w:val="00C82A26"/>
    <w:rsid w:val="00C83CCF"/>
    <w:rsid w:val="00C848C6"/>
    <w:rsid w:val="00C8501D"/>
    <w:rsid w:val="00C85151"/>
    <w:rsid w:val="00C86262"/>
    <w:rsid w:val="00C87132"/>
    <w:rsid w:val="00C872B6"/>
    <w:rsid w:val="00C872D6"/>
    <w:rsid w:val="00C90704"/>
    <w:rsid w:val="00C91084"/>
    <w:rsid w:val="00C9221E"/>
    <w:rsid w:val="00C92424"/>
    <w:rsid w:val="00C9277D"/>
    <w:rsid w:val="00C93864"/>
    <w:rsid w:val="00C95CF9"/>
    <w:rsid w:val="00C95F57"/>
    <w:rsid w:val="00C962BB"/>
    <w:rsid w:val="00C96E9D"/>
    <w:rsid w:val="00C96FB3"/>
    <w:rsid w:val="00C9747E"/>
    <w:rsid w:val="00C97B68"/>
    <w:rsid w:val="00CA07FA"/>
    <w:rsid w:val="00CA0A3E"/>
    <w:rsid w:val="00CA0D05"/>
    <w:rsid w:val="00CA0FB1"/>
    <w:rsid w:val="00CA10D3"/>
    <w:rsid w:val="00CA176C"/>
    <w:rsid w:val="00CA24FD"/>
    <w:rsid w:val="00CA27AB"/>
    <w:rsid w:val="00CA29DA"/>
    <w:rsid w:val="00CA4F79"/>
    <w:rsid w:val="00CA516A"/>
    <w:rsid w:val="00CA5A3A"/>
    <w:rsid w:val="00CA6126"/>
    <w:rsid w:val="00CA6AE6"/>
    <w:rsid w:val="00CA6F04"/>
    <w:rsid w:val="00CA7825"/>
    <w:rsid w:val="00CA78C1"/>
    <w:rsid w:val="00CA7FE3"/>
    <w:rsid w:val="00CB02E7"/>
    <w:rsid w:val="00CB0361"/>
    <w:rsid w:val="00CB03B4"/>
    <w:rsid w:val="00CB03E5"/>
    <w:rsid w:val="00CB13AC"/>
    <w:rsid w:val="00CB196B"/>
    <w:rsid w:val="00CB283C"/>
    <w:rsid w:val="00CB393F"/>
    <w:rsid w:val="00CB4E68"/>
    <w:rsid w:val="00CB53B8"/>
    <w:rsid w:val="00CB70EF"/>
    <w:rsid w:val="00CB7651"/>
    <w:rsid w:val="00CB7B1D"/>
    <w:rsid w:val="00CC099A"/>
    <w:rsid w:val="00CC0D0D"/>
    <w:rsid w:val="00CC16C3"/>
    <w:rsid w:val="00CC1BF3"/>
    <w:rsid w:val="00CC2314"/>
    <w:rsid w:val="00CC2A97"/>
    <w:rsid w:val="00CC6A03"/>
    <w:rsid w:val="00CD0070"/>
    <w:rsid w:val="00CD0BFE"/>
    <w:rsid w:val="00CD1A8D"/>
    <w:rsid w:val="00CD2777"/>
    <w:rsid w:val="00CD2E3D"/>
    <w:rsid w:val="00CD33F3"/>
    <w:rsid w:val="00CD5232"/>
    <w:rsid w:val="00CD5431"/>
    <w:rsid w:val="00CD568B"/>
    <w:rsid w:val="00CD6052"/>
    <w:rsid w:val="00CD64FB"/>
    <w:rsid w:val="00CD6F50"/>
    <w:rsid w:val="00CD7749"/>
    <w:rsid w:val="00CE034D"/>
    <w:rsid w:val="00CE0AAF"/>
    <w:rsid w:val="00CE220B"/>
    <w:rsid w:val="00CE2E84"/>
    <w:rsid w:val="00CE42A0"/>
    <w:rsid w:val="00CE4B01"/>
    <w:rsid w:val="00CE6112"/>
    <w:rsid w:val="00CE6E62"/>
    <w:rsid w:val="00CE71A6"/>
    <w:rsid w:val="00CF0680"/>
    <w:rsid w:val="00CF17C9"/>
    <w:rsid w:val="00CF1D59"/>
    <w:rsid w:val="00CF2FF7"/>
    <w:rsid w:val="00CF376D"/>
    <w:rsid w:val="00CF38BF"/>
    <w:rsid w:val="00CF416B"/>
    <w:rsid w:val="00CF41A0"/>
    <w:rsid w:val="00CF4B12"/>
    <w:rsid w:val="00CF5BB9"/>
    <w:rsid w:val="00CF6283"/>
    <w:rsid w:val="00CF666B"/>
    <w:rsid w:val="00CF6830"/>
    <w:rsid w:val="00CF6DC4"/>
    <w:rsid w:val="00CF746D"/>
    <w:rsid w:val="00CF749D"/>
    <w:rsid w:val="00CF7805"/>
    <w:rsid w:val="00D006A0"/>
    <w:rsid w:val="00D00ADC"/>
    <w:rsid w:val="00D00D19"/>
    <w:rsid w:val="00D01726"/>
    <w:rsid w:val="00D029C7"/>
    <w:rsid w:val="00D032F0"/>
    <w:rsid w:val="00D043FE"/>
    <w:rsid w:val="00D05283"/>
    <w:rsid w:val="00D0528E"/>
    <w:rsid w:val="00D05E2C"/>
    <w:rsid w:val="00D0666D"/>
    <w:rsid w:val="00D07482"/>
    <w:rsid w:val="00D07C52"/>
    <w:rsid w:val="00D07D30"/>
    <w:rsid w:val="00D07F58"/>
    <w:rsid w:val="00D103CF"/>
    <w:rsid w:val="00D104A6"/>
    <w:rsid w:val="00D123FD"/>
    <w:rsid w:val="00D126AE"/>
    <w:rsid w:val="00D127C3"/>
    <w:rsid w:val="00D129E6"/>
    <w:rsid w:val="00D13BDD"/>
    <w:rsid w:val="00D14006"/>
    <w:rsid w:val="00D14643"/>
    <w:rsid w:val="00D15336"/>
    <w:rsid w:val="00D15E3D"/>
    <w:rsid w:val="00D16E6E"/>
    <w:rsid w:val="00D16F21"/>
    <w:rsid w:val="00D1790D"/>
    <w:rsid w:val="00D21460"/>
    <w:rsid w:val="00D21810"/>
    <w:rsid w:val="00D21962"/>
    <w:rsid w:val="00D223EC"/>
    <w:rsid w:val="00D228C6"/>
    <w:rsid w:val="00D22972"/>
    <w:rsid w:val="00D22B7A"/>
    <w:rsid w:val="00D23941"/>
    <w:rsid w:val="00D23EC3"/>
    <w:rsid w:val="00D24894"/>
    <w:rsid w:val="00D25361"/>
    <w:rsid w:val="00D25AE9"/>
    <w:rsid w:val="00D268B4"/>
    <w:rsid w:val="00D272F5"/>
    <w:rsid w:val="00D27447"/>
    <w:rsid w:val="00D277B0"/>
    <w:rsid w:val="00D31245"/>
    <w:rsid w:val="00D31758"/>
    <w:rsid w:val="00D328FD"/>
    <w:rsid w:val="00D32900"/>
    <w:rsid w:val="00D339ED"/>
    <w:rsid w:val="00D34A80"/>
    <w:rsid w:val="00D34DB9"/>
    <w:rsid w:val="00D35089"/>
    <w:rsid w:val="00D35158"/>
    <w:rsid w:val="00D35BDF"/>
    <w:rsid w:val="00D3767F"/>
    <w:rsid w:val="00D400EC"/>
    <w:rsid w:val="00D4040D"/>
    <w:rsid w:val="00D409C4"/>
    <w:rsid w:val="00D40FCB"/>
    <w:rsid w:val="00D40FCD"/>
    <w:rsid w:val="00D41EF2"/>
    <w:rsid w:val="00D42289"/>
    <w:rsid w:val="00D4233F"/>
    <w:rsid w:val="00D4234D"/>
    <w:rsid w:val="00D42D36"/>
    <w:rsid w:val="00D42EA1"/>
    <w:rsid w:val="00D43608"/>
    <w:rsid w:val="00D43ED0"/>
    <w:rsid w:val="00D4458C"/>
    <w:rsid w:val="00D45E58"/>
    <w:rsid w:val="00D46788"/>
    <w:rsid w:val="00D468DE"/>
    <w:rsid w:val="00D46DE7"/>
    <w:rsid w:val="00D47A0D"/>
    <w:rsid w:val="00D500D4"/>
    <w:rsid w:val="00D502D2"/>
    <w:rsid w:val="00D509CF"/>
    <w:rsid w:val="00D5114F"/>
    <w:rsid w:val="00D5170A"/>
    <w:rsid w:val="00D51931"/>
    <w:rsid w:val="00D51E09"/>
    <w:rsid w:val="00D522AC"/>
    <w:rsid w:val="00D52473"/>
    <w:rsid w:val="00D52595"/>
    <w:rsid w:val="00D5572C"/>
    <w:rsid w:val="00D55CD6"/>
    <w:rsid w:val="00D55DEC"/>
    <w:rsid w:val="00D572B7"/>
    <w:rsid w:val="00D575BB"/>
    <w:rsid w:val="00D577CB"/>
    <w:rsid w:val="00D578D3"/>
    <w:rsid w:val="00D57D12"/>
    <w:rsid w:val="00D57FE3"/>
    <w:rsid w:val="00D60E38"/>
    <w:rsid w:val="00D62367"/>
    <w:rsid w:val="00D62477"/>
    <w:rsid w:val="00D62734"/>
    <w:rsid w:val="00D63377"/>
    <w:rsid w:val="00D63E50"/>
    <w:rsid w:val="00D6426E"/>
    <w:rsid w:val="00D643C0"/>
    <w:rsid w:val="00D649FC"/>
    <w:rsid w:val="00D657D5"/>
    <w:rsid w:val="00D660BF"/>
    <w:rsid w:val="00D6661B"/>
    <w:rsid w:val="00D66DDE"/>
    <w:rsid w:val="00D67416"/>
    <w:rsid w:val="00D675ED"/>
    <w:rsid w:val="00D6792E"/>
    <w:rsid w:val="00D67B45"/>
    <w:rsid w:val="00D67EEA"/>
    <w:rsid w:val="00D70183"/>
    <w:rsid w:val="00D704B5"/>
    <w:rsid w:val="00D708F7"/>
    <w:rsid w:val="00D71CF3"/>
    <w:rsid w:val="00D7346F"/>
    <w:rsid w:val="00D73652"/>
    <w:rsid w:val="00D7396A"/>
    <w:rsid w:val="00D739E8"/>
    <w:rsid w:val="00D73D13"/>
    <w:rsid w:val="00D742CF"/>
    <w:rsid w:val="00D748F5"/>
    <w:rsid w:val="00D75AB7"/>
    <w:rsid w:val="00D7648B"/>
    <w:rsid w:val="00D76663"/>
    <w:rsid w:val="00D76B50"/>
    <w:rsid w:val="00D77243"/>
    <w:rsid w:val="00D80178"/>
    <w:rsid w:val="00D80F9F"/>
    <w:rsid w:val="00D817B8"/>
    <w:rsid w:val="00D817C2"/>
    <w:rsid w:val="00D81FC3"/>
    <w:rsid w:val="00D82804"/>
    <w:rsid w:val="00D82B47"/>
    <w:rsid w:val="00D84954"/>
    <w:rsid w:val="00D849B0"/>
    <w:rsid w:val="00D84A0B"/>
    <w:rsid w:val="00D84A6E"/>
    <w:rsid w:val="00D850FE"/>
    <w:rsid w:val="00D8585E"/>
    <w:rsid w:val="00D8590C"/>
    <w:rsid w:val="00D8617B"/>
    <w:rsid w:val="00D86A7E"/>
    <w:rsid w:val="00D86ECA"/>
    <w:rsid w:val="00D9069D"/>
    <w:rsid w:val="00D90A21"/>
    <w:rsid w:val="00D91024"/>
    <w:rsid w:val="00D917A3"/>
    <w:rsid w:val="00D928F8"/>
    <w:rsid w:val="00D9322C"/>
    <w:rsid w:val="00D93318"/>
    <w:rsid w:val="00D93475"/>
    <w:rsid w:val="00D938CF"/>
    <w:rsid w:val="00D93CD7"/>
    <w:rsid w:val="00D93D42"/>
    <w:rsid w:val="00D93FA1"/>
    <w:rsid w:val="00D94697"/>
    <w:rsid w:val="00D95AF0"/>
    <w:rsid w:val="00D9686F"/>
    <w:rsid w:val="00D96FB6"/>
    <w:rsid w:val="00D97CB5"/>
    <w:rsid w:val="00DA0D63"/>
    <w:rsid w:val="00DA1547"/>
    <w:rsid w:val="00DA154A"/>
    <w:rsid w:val="00DA1661"/>
    <w:rsid w:val="00DA19ED"/>
    <w:rsid w:val="00DA226F"/>
    <w:rsid w:val="00DA2B2A"/>
    <w:rsid w:val="00DA4500"/>
    <w:rsid w:val="00DA4B11"/>
    <w:rsid w:val="00DA4D58"/>
    <w:rsid w:val="00DA4E31"/>
    <w:rsid w:val="00DA4EEA"/>
    <w:rsid w:val="00DA54E1"/>
    <w:rsid w:val="00DA570F"/>
    <w:rsid w:val="00DA57C7"/>
    <w:rsid w:val="00DA5F43"/>
    <w:rsid w:val="00DA64BD"/>
    <w:rsid w:val="00DA6A29"/>
    <w:rsid w:val="00DA6B7A"/>
    <w:rsid w:val="00DA7AE1"/>
    <w:rsid w:val="00DA7E6B"/>
    <w:rsid w:val="00DB0293"/>
    <w:rsid w:val="00DB0471"/>
    <w:rsid w:val="00DB05A4"/>
    <w:rsid w:val="00DB0AC2"/>
    <w:rsid w:val="00DB0CD8"/>
    <w:rsid w:val="00DB133C"/>
    <w:rsid w:val="00DB1849"/>
    <w:rsid w:val="00DB1B69"/>
    <w:rsid w:val="00DB1DDC"/>
    <w:rsid w:val="00DB1EC3"/>
    <w:rsid w:val="00DB2898"/>
    <w:rsid w:val="00DB3493"/>
    <w:rsid w:val="00DB36BC"/>
    <w:rsid w:val="00DB45C6"/>
    <w:rsid w:val="00DB47B1"/>
    <w:rsid w:val="00DB516D"/>
    <w:rsid w:val="00DB554B"/>
    <w:rsid w:val="00DB5556"/>
    <w:rsid w:val="00DB61C3"/>
    <w:rsid w:val="00DB6521"/>
    <w:rsid w:val="00DB72F0"/>
    <w:rsid w:val="00DB7AF0"/>
    <w:rsid w:val="00DC08B5"/>
    <w:rsid w:val="00DC24F6"/>
    <w:rsid w:val="00DC3093"/>
    <w:rsid w:val="00DC3521"/>
    <w:rsid w:val="00DC378C"/>
    <w:rsid w:val="00DC5CEA"/>
    <w:rsid w:val="00DC5EDF"/>
    <w:rsid w:val="00DC67B1"/>
    <w:rsid w:val="00DC6CF9"/>
    <w:rsid w:val="00DC6CFB"/>
    <w:rsid w:val="00DC7133"/>
    <w:rsid w:val="00DC7D94"/>
    <w:rsid w:val="00DC7FAA"/>
    <w:rsid w:val="00DD055A"/>
    <w:rsid w:val="00DD0AFA"/>
    <w:rsid w:val="00DD0E3A"/>
    <w:rsid w:val="00DD1283"/>
    <w:rsid w:val="00DD164E"/>
    <w:rsid w:val="00DD2D1B"/>
    <w:rsid w:val="00DD3801"/>
    <w:rsid w:val="00DD3FDC"/>
    <w:rsid w:val="00DD5E86"/>
    <w:rsid w:val="00DD6025"/>
    <w:rsid w:val="00DD6E23"/>
    <w:rsid w:val="00DD71C3"/>
    <w:rsid w:val="00DD7B59"/>
    <w:rsid w:val="00DD7CDD"/>
    <w:rsid w:val="00DE0AF0"/>
    <w:rsid w:val="00DE10EF"/>
    <w:rsid w:val="00DE2928"/>
    <w:rsid w:val="00DE364F"/>
    <w:rsid w:val="00DE4810"/>
    <w:rsid w:val="00DE4D08"/>
    <w:rsid w:val="00DE6914"/>
    <w:rsid w:val="00DE70E3"/>
    <w:rsid w:val="00DE750F"/>
    <w:rsid w:val="00DF05F3"/>
    <w:rsid w:val="00DF05F7"/>
    <w:rsid w:val="00DF0631"/>
    <w:rsid w:val="00DF06AA"/>
    <w:rsid w:val="00DF085C"/>
    <w:rsid w:val="00DF0EAB"/>
    <w:rsid w:val="00DF18B2"/>
    <w:rsid w:val="00DF1C91"/>
    <w:rsid w:val="00DF2DDD"/>
    <w:rsid w:val="00DF2FC3"/>
    <w:rsid w:val="00DF389A"/>
    <w:rsid w:val="00DF3CE6"/>
    <w:rsid w:val="00DF4057"/>
    <w:rsid w:val="00DF4113"/>
    <w:rsid w:val="00DF479D"/>
    <w:rsid w:val="00DF4DD6"/>
    <w:rsid w:val="00DF53F4"/>
    <w:rsid w:val="00DF5616"/>
    <w:rsid w:val="00DF5B3F"/>
    <w:rsid w:val="00DF5B7A"/>
    <w:rsid w:val="00DF5BF7"/>
    <w:rsid w:val="00DF5C8E"/>
    <w:rsid w:val="00DF64DB"/>
    <w:rsid w:val="00DF7A12"/>
    <w:rsid w:val="00DF7AD1"/>
    <w:rsid w:val="00E0000A"/>
    <w:rsid w:val="00E00302"/>
    <w:rsid w:val="00E0056D"/>
    <w:rsid w:val="00E00622"/>
    <w:rsid w:val="00E006B8"/>
    <w:rsid w:val="00E00D0B"/>
    <w:rsid w:val="00E01978"/>
    <w:rsid w:val="00E01DD1"/>
    <w:rsid w:val="00E01DE4"/>
    <w:rsid w:val="00E022FC"/>
    <w:rsid w:val="00E02326"/>
    <w:rsid w:val="00E02476"/>
    <w:rsid w:val="00E05204"/>
    <w:rsid w:val="00E06A43"/>
    <w:rsid w:val="00E07BC8"/>
    <w:rsid w:val="00E07C7E"/>
    <w:rsid w:val="00E10B2E"/>
    <w:rsid w:val="00E10C23"/>
    <w:rsid w:val="00E11A58"/>
    <w:rsid w:val="00E12CD4"/>
    <w:rsid w:val="00E12F3F"/>
    <w:rsid w:val="00E135A9"/>
    <w:rsid w:val="00E136CD"/>
    <w:rsid w:val="00E1389A"/>
    <w:rsid w:val="00E14315"/>
    <w:rsid w:val="00E14515"/>
    <w:rsid w:val="00E14AEF"/>
    <w:rsid w:val="00E14B91"/>
    <w:rsid w:val="00E155B1"/>
    <w:rsid w:val="00E15BB0"/>
    <w:rsid w:val="00E16B3A"/>
    <w:rsid w:val="00E1792F"/>
    <w:rsid w:val="00E17AA0"/>
    <w:rsid w:val="00E17B4D"/>
    <w:rsid w:val="00E20264"/>
    <w:rsid w:val="00E2032F"/>
    <w:rsid w:val="00E21D9C"/>
    <w:rsid w:val="00E21DB5"/>
    <w:rsid w:val="00E21E14"/>
    <w:rsid w:val="00E22048"/>
    <w:rsid w:val="00E24981"/>
    <w:rsid w:val="00E2499C"/>
    <w:rsid w:val="00E2502E"/>
    <w:rsid w:val="00E2520E"/>
    <w:rsid w:val="00E25BEC"/>
    <w:rsid w:val="00E26013"/>
    <w:rsid w:val="00E2655B"/>
    <w:rsid w:val="00E26DDA"/>
    <w:rsid w:val="00E27012"/>
    <w:rsid w:val="00E27A8C"/>
    <w:rsid w:val="00E31A66"/>
    <w:rsid w:val="00E31AEA"/>
    <w:rsid w:val="00E31F33"/>
    <w:rsid w:val="00E325FB"/>
    <w:rsid w:val="00E32688"/>
    <w:rsid w:val="00E32BE0"/>
    <w:rsid w:val="00E33735"/>
    <w:rsid w:val="00E3397D"/>
    <w:rsid w:val="00E340E8"/>
    <w:rsid w:val="00E3445E"/>
    <w:rsid w:val="00E344F7"/>
    <w:rsid w:val="00E35046"/>
    <w:rsid w:val="00E36506"/>
    <w:rsid w:val="00E36C98"/>
    <w:rsid w:val="00E370B7"/>
    <w:rsid w:val="00E37DA7"/>
    <w:rsid w:val="00E4029A"/>
    <w:rsid w:val="00E403D9"/>
    <w:rsid w:val="00E41448"/>
    <w:rsid w:val="00E41EB6"/>
    <w:rsid w:val="00E41F72"/>
    <w:rsid w:val="00E4273A"/>
    <w:rsid w:val="00E4275A"/>
    <w:rsid w:val="00E427F3"/>
    <w:rsid w:val="00E42DD1"/>
    <w:rsid w:val="00E432BC"/>
    <w:rsid w:val="00E438B4"/>
    <w:rsid w:val="00E44A2F"/>
    <w:rsid w:val="00E45C25"/>
    <w:rsid w:val="00E45D11"/>
    <w:rsid w:val="00E45F10"/>
    <w:rsid w:val="00E473E4"/>
    <w:rsid w:val="00E47996"/>
    <w:rsid w:val="00E47B0D"/>
    <w:rsid w:val="00E504B1"/>
    <w:rsid w:val="00E5061C"/>
    <w:rsid w:val="00E50A7E"/>
    <w:rsid w:val="00E5247B"/>
    <w:rsid w:val="00E535BE"/>
    <w:rsid w:val="00E53BE1"/>
    <w:rsid w:val="00E55535"/>
    <w:rsid w:val="00E558ED"/>
    <w:rsid w:val="00E5599A"/>
    <w:rsid w:val="00E55BDC"/>
    <w:rsid w:val="00E5666A"/>
    <w:rsid w:val="00E60E84"/>
    <w:rsid w:val="00E622CA"/>
    <w:rsid w:val="00E63CFE"/>
    <w:rsid w:val="00E65CC9"/>
    <w:rsid w:val="00E65DE2"/>
    <w:rsid w:val="00E673F5"/>
    <w:rsid w:val="00E673FA"/>
    <w:rsid w:val="00E679E4"/>
    <w:rsid w:val="00E67AB3"/>
    <w:rsid w:val="00E67D26"/>
    <w:rsid w:val="00E7007E"/>
    <w:rsid w:val="00E70700"/>
    <w:rsid w:val="00E70BA8"/>
    <w:rsid w:val="00E70D5C"/>
    <w:rsid w:val="00E71169"/>
    <w:rsid w:val="00E71B60"/>
    <w:rsid w:val="00E72A6C"/>
    <w:rsid w:val="00E73614"/>
    <w:rsid w:val="00E73845"/>
    <w:rsid w:val="00E73858"/>
    <w:rsid w:val="00E756B5"/>
    <w:rsid w:val="00E75B80"/>
    <w:rsid w:val="00E75DC9"/>
    <w:rsid w:val="00E76A97"/>
    <w:rsid w:val="00E7787B"/>
    <w:rsid w:val="00E77A71"/>
    <w:rsid w:val="00E77E6E"/>
    <w:rsid w:val="00E80F3D"/>
    <w:rsid w:val="00E81406"/>
    <w:rsid w:val="00E8176C"/>
    <w:rsid w:val="00E82327"/>
    <w:rsid w:val="00E82BC1"/>
    <w:rsid w:val="00E82CB5"/>
    <w:rsid w:val="00E83BF8"/>
    <w:rsid w:val="00E83DC0"/>
    <w:rsid w:val="00E840A4"/>
    <w:rsid w:val="00E84302"/>
    <w:rsid w:val="00E84D4E"/>
    <w:rsid w:val="00E84FF8"/>
    <w:rsid w:val="00E85C48"/>
    <w:rsid w:val="00E85F80"/>
    <w:rsid w:val="00E901E9"/>
    <w:rsid w:val="00E90823"/>
    <w:rsid w:val="00E90B01"/>
    <w:rsid w:val="00E91F2A"/>
    <w:rsid w:val="00E92B76"/>
    <w:rsid w:val="00E92DA9"/>
    <w:rsid w:val="00E93BD3"/>
    <w:rsid w:val="00E93D2B"/>
    <w:rsid w:val="00E945AA"/>
    <w:rsid w:val="00E94796"/>
    <w:rsid w:val="00E94B93"/>
    <w:rsid w:val="00E96FA5"/>
    <w:rsid w:val="00EA0BEC"/>
    <w:rsid w:val="00EA0E5D"/>
    <w:rsid w:val="00EA102B"/>
    <w:rsid w:val="00EA167E"/>
    <w:rsid w:val="00EA1871"/>
    <w:rsid w:val="00EA1CF6"/>
    <w:rsid w:val="00EA243A"/>
    <w:rsid w:val="00EA2598"/>
    <w:rsid w:val="00EA2AF7"/>
    <w:rsid w:val="00EA3887"/>
    <w:rsid w:val="00EA3F93"/>
    <w:rsid w:val="00EA4068"/>
    <w:rsid w:val="00EA4755"/>
    <w:rsid w:val="00EA48A2"/>
    <w:rsid w:val="00EA4BAE"/>
    <w:rsid w:val="00EA4D8E"/>
    <w:rsid w:val="00EA4F6E"/>
    <w:rsid w:val="00EA65F5"/>
    <w:rsid w:val="00EA6837"/>
    <w:rsid w:val="00EA6E73"/>
    <w:rsid w:val="00EA71EB"/>
    <w:rsid w:val="00EA7292"/>
    <w:rsid w:val="00EA794A"/>
    <w:rsid w:val="00EA7C86"/>
    <w:rsid w:val="00EB0438"/>
    <w:rsid w:val="00EB0BE1"/>
    <w:rsid w:val="00EB25D0"/>
    <w:rsid w:val="00EB2721"/>
    <w:rsid w:val="00EB2AAE"/>
    <w:rsid w:val="00EB3E9B"/>
    <w:rsid w:val="00EB4270"/>
    <w:rsid w:val="00EB448D"/>
    <w:rsid w:val="00EB49BE"/>
    <w:rsid w:val="00EB5C40"/>
    <w:rsid w:val="00EB5CF2"/>
    <w:rsid w:val="00EB624C"/>
    <w:rsid w:val="00EB6F63"/>
    <w:rsid w:val="00EB7660"/>
    <w:rsid w:val="00EB787D"/>
    <w:rsid w:val="00EB7E3D"/>
    <w:rsid w:val="00EC05C9"/>
    <w:rsid w:val="00EC0D30"/>
    <w:rsid w:val="00EC0DF9"/>
    <w:rsid w:val="00EC1368"/>
    <w:rsid w:val="00EC2A64"/>
    <w:rsid w:val="00EC3693"/>
    <w:rsid w:val="00EC44CB"/>
    <w:rsid w:val="00EC4E73"/>
    <w:rsid w:val="00EC5D3F"/>
    <w:rsid w:val="00EC60DA"/>
    <w:rsid w:val="00EC6D43"/>
    <w:rsid w:val="00ED0A8C"/>
    <w:rsid w:val="00ED19B5"/>
    <w:rsid w:val="00ED1DDD"/>
    <w:rsid w:val="00ED1ED5"/>
    <w:rsid w:val="00ED23B7"/>
    <w:rsid w:val="00ED352C"/>
    <w:rsid w:val="00ED3689"/>
    <w:rsid w:val="00ED3B70"/>
    <w:rsid w:val="00ED46DC"/>
    <w:rsid w:val="00ED487C"/>
    <w:rsid w:val="00ED5E73"/>
    <w:rsid w:val="00ED629E"/>
    <w:rsid w:val="00ED7488"/>
    <w:rsid w:val="00ED7AA8"/>
    <w:rsid w:val="00ED7DB4"/>
    <w:rsid w:val="00ED7E0F"/>
    <w:rsid w:val="00ED7F31"/>
    <w:rsid w:val="00EE0647"/>
    <w:rsid w:val="00EE115B"/>
    <w:rsid w:val="00EE1250"/>
    <w:rsid w:val="00EE1613"/>
    <w:rsid w:val="00EE186D"/>
    <w:rsid w:val="00EE1BD6"/>
    <w:rsid w:val="00EE1DBA"/>
    <w:rsid w:val="00EE21C7"/>
    <w:rsid w:val="00EE4739"/>
    <w:rsid w:val="00EE487D"/>
    <w:rsid w:val="00EE4E0B"/>
    <w:rsid w:val="00EE514C"/>
    <w:rsid w:val="00EE6BD4"/>
    <w:rsid w:val="00EE6C8C"/>
    <w:rsid w:val="00EE7706"/>
    <w:rsid w:val="00EF0CB8"/>
    <w:rsid w:val="00EF0D69"/>
    <w:rsid w:val="00EF0D97"/>
    <w:rsid w:val="00EF0E0D"/>
    <w:rsid w:val="00EF142F"/>
    <w:rsid w:val="00EF1791"/>
    <w:rsid w:val="00EF1A39"/>
    <w:rsid w:val="00EF1CD6"/>
    <w:rsid w:val="00EF2855"/>
    <w:rsid w:val="00EF3451"/>
    <w:rsid w:val="00EF3BB1"/>
    <w:rsid w:val="00EF4081"/>
    <w:rsid w:val="00EF5214"/>
    <w:rsid w:val="00EF57A9"/>
    <w:rsid w:val="00EF5A24"/>
    <w:rsid w:val="00EF5C3E"/>
    <w:rsid w:val="00EF61EF"/>
    <w:rsid w:val="00EF720A"/>
    <w:rsid w:val="00EF72D2"/>
    <w:rsid w:val="00EF76CF"/>
    <w:rsid w:val="00F00911"/>
    <w:rsid w:val="00F0199C"/>
    <w:rsid w:val="00F01C66"/>
    <w:rsid w:val="00F020D1"/>
    <w:rsid w:val="00F0236C"/>
    <w:rsid w:val="00F023F3"/>
    <w:rsid w:val="00F0298A"/>
    <w:rsid w:val="00F03631"/>
    <w:rsid w:val="00F04BFB"/>
    <w:rsid w:val="00F05463"/>
    <w:rsid w:val="00F05850"/>
    <w:rsid w:val="00F05B84"/>
    <w:rsid w:val="00F06110"/>
    <w:rsid w:val="00F06A6D"/>
    <w:rsid w:val="00F07B11"/>
    <w:rsid w:val="00F10D14"/>
    <w:rsid w:val="00F11208"/>
    <w:rsid w:val="00F11E19"/>
    <w:rsid w:val="00F11E91"/>
    <w:rsid w:val="00F11F94"/>
    <w:rsid w:val="00F12B2F"/>
    <w:rsid w:val="00F12FCB"/>
    <w:rsid w:val="00F12FCD"/>
    <w:rsid w:val="00F13B03"/>
    <w:rsid w:val="00F13F77"/>
    <w:rsid w:val="00F1488B"/>
    <w:rsid w:val="00F14C47"/>
    <w:rsid w:val="00F14D2B"/>
    <w:rsid w:val="00F154DE"/>
    <w:rsid w:val="00F160D5"/>
    <w:rsid w:val="00F17354"/>
    <w:rsid w:val="00F17598"/>
    <w:rsid w:val="00F17B4B"/>
    <w:rsid w:val="00F2019A"/>
    <w:rsid w:val="00F206B3"/>
    <w:rsid w:val="00F20E02"/>
    <w:rsid w:val="00F215B3"/>
    <w:rsid w:val="00F22100"/>
    <w:rsid w:val="00F222A2"/>
    <w:rsid w:val="00F23FB7"/>
    <w:rsid w:val="00F2401C"/>
    <w:rsid w:val="00F25BFE"/>
    <w:rsid w:val="00F2639D"/>
    <w:rsid w:val="00F27032"/>
    <w:rsid w:val="00F270D3"/>
    <w:rsid w:val="00F271C8"/>
    <w:rsid w:val="00F27C9B"/>
    <w:rsid w:val="00F27D37"/>
    <w:rsid w:val="00F30229"/>
    <w:rsid w:val="00F309DE"/>
    <w:rsid w:val="00F31070"/>
    <w:rsid w:val="00F311F5"/>
    <w:rsid w:val="00F32378"/>
    <w:rsid w:val="00F337FC"/>
    <w:rsid w:val="00F33896"/>
    <w:rsid w:val="00F33BFF"/>
    <w:rsid w:val="00F34DCF"/>
    <w:rsid w:val="00F351BD"/>
    <w:rsid w:val="00F352B4"/>
    <w:rsid w:val="00F35A6F"/>
    <w:rsid w:val="00F35F68"/>
    <w:rsid w:val="00F36E28"/>
    <w:rsid w:val="00F371ED"/>
    <w:rsid w:val="00F371F5"/>
    <w:rsid w:val="00F37AA9"/>
    <w:rsid w:val="00F40679"/>
    <w:rsid w:val="00F40B9C"/>
    <w:rsid w:val="00F41237"/>
    <w:rsid w:val="00F41374"/>
    <w:rsid w:val="00F413D1"/>
    <w:rsid w:val="00F41C42"/>
    <w:rsid w:val="00F423ED"/>
    <w:rsid w:val="00F428D0"/>
    <w:rsid w:val="00F430E3"/>
    <w:rsid w:val="00F4336B"/>
    <w:rsid w:val="00F4373E"/>
    <w:rsid w:val="00F43C99"/>
    <w:rsid w:val="00F442FA"/>
    <w:rsid w:val="00F44537"/>
    <w:rsid w:val="00F44650"/>
    <w:rsid w:val="00F457C4"/>
    <w:rsid w:val="00F45D6F"/>
    <w:rsid w:val="00F461D9"/>
    <w:rsid w:val="00F466FB"/>
    <w:rsid w:val="00F46757"/>
    <w:rsid w:val="00F50421"/>
    <w:rsid w:val="00F50D40"/>
    <w:rsid w:val="00F51CBD"/>
    <w:rsid w:val="00F52161"/>
    <w:rsid w:val="00F54B94"/>
    <w:rsid w:val="00F5590E"/>
    <w:rsid w:val="00F55A35"/>
    <w:rsid w:val="00F5617B"/>
    <w:rsid w:val="00F562BC"/>
    <w:rsid w:val="00F5670D"/>
    <w:rsid w:val="00F56854"/>
    <w:rsid w:val="00F56B2A"/>
    <w:rsid w:val="00F56B84"/>
    <w:rsid w:val="00F56D86"/>
    <w:rsid w:val="00F572AC"/>
    <w:rsid w:val="00F5782C"/>
    <w:rsid w:val="00F57BDF"/>
    <w:rsid w:val="00F57DDB"/>
    <w:rsid w:val="00F60355"/>
    <w:rsid w:val="00F604EB"/>
    <w:rsid w:val="00F60880"/>
    <w:rsid w:val="00F60FB8"/>
    <w:rsid w:val="00F65403"/>
    <w:rsid w:val="00F65EB4"/>
    <w:rsid w:val="00F6659E"/>
    <w:rsid w:val="00F674BF"/>
    <w:rsid w:val="00F67636"/>
    <w:rsid w:val="00F6798D"/>
    <w:rsid w:val="00F70BEC"/>
    <w:rsid w:val="00F70D61"/>
    <w:rsid w:val="00F70D72"/>
    <w:rsid w:val="00F7162F"/>
    <w:rsid w:val="00F71C3B"/>
    <w:rsid w:val="00F71ED8"/>
    <w:rsid w:val="00F727C2"/>
    <w:rsid w:val="00F760D1"/>
    <w:rsid w:val="00F76E92"/>
    <w:rsid w:val="00F774D2"/>
    <w:rsid w:val="00F77B5F"/>
    <w:rsid w:val="00F81066"/>
    <w:rsid w:val="00F81086"/>
    <w:rsid w:val="00F81992"/>
    <w:rsid w:val="00F81F10"/>
    <w:rsid w:val="00F831FB"/>
    <w:rsid w:val="00F836ED"/>
    <w:rsid w:val="00F83B9D"/>
    <w:rsid w:val="00F84309"/>
    <w:rsid w:val="00F85771"/>
    <w:rsid w:val="00F85B93"/>
    <w:rsid w:val="00F863F0"/>
    <w:rsid w:val="00F867EA"/>
    <w:rsid w:val="00F86ACE"/>
    <w:rsid w:val="00F86B7F"/>
    <w:rsid w:val="00F879C3"/>
    <w:rsid w:val="00F87C40"/>
    <w:rsid w:val="00F92639"/>
    <w:rsid w:val="00F944B2"/>
    <w:rsid w:val="00F9474A"/>
    <w:rsid w:val="00F951FC"/>
    <w:rsid w:val="00F9547F"/>
    <w:rsid w:val="00F95D91"/>
    <w:rsid w:val="00F96606"/>
    <w:rsid w:val="00F973AF"/>
    <w:rsid w:val="00F977FC"/>
    <w:rsid w:val="00F97B41"/>
    <w:rsid w:val="00FA22F3"/>
    <w:rsid w:val="00FA2567"/>
    <w:rsid w:val="00FA25C9"/>
    <w:rsid w:val="00FA3153"/>
    <w:rsid w:val="00FA37A3"/>
    <w:rsid w:val="00FA3E11"/>
    <w:rsid w:val="00FA3E20"/>
    <w:rsid w:val="00FA46F5"/>
    <w:rsid w:val="00FA5A1E"/>
    <w:rsid w:val="00FA5F9C"/>
    <w:rsid w:val="00FA64D0"/>
    <w:rsid w:val="00FA655F"/>
    <w:rsid w:val="00FA6D8F"/>
    <w:rsid w:val="00FA70B5"/>
    <w:rsid w:val="00FA7FFC"/>
    <w:rsid w:val="00FB0239"/>
    <w:rsid w:val="00FB1273"/>
    <w:rsid w:val="00FB1503"/>
    <w:rsid w:val="00FB17BC"/>
    <w:rsid w:val="00FB189A"/>
    <w:rsid w:val="00FB239B"/>
    <w:rsid w:val="00FB30DE"/>
    <w:rsid w:val="00FB557E"/>
    <w:rsid w:val="00FB56F8"/>
    <w:rsid w:val="00FB6AB9"/>
    <w:rsid w:val="00FB75D7"/>
    <w:rsid w:val="00FB7622"/>
    <w:rsid w:val="00FC056E"/>
    <w:rsid w:val="00FC1614"/>
    <w:rsid w:val="00FC1750"/>
    <w:rsid w:val="00FC1C1E"/>
    <w:rsid w:val="00FC2747"/>
    <w:rsid w:val="00FC2E05"/>
    <w:rsid w:val="00FC33B3"/>
    <w:rsid w:val="00FC34E6"/>
    <w:rsid w:val="00FC3A30"/>
    <w:rsid w:val="00FC3CB6"/>
    <w:rsid w:val="00FC5027"/>
    <w:rsid w:val="00FC5D76"/>
    <w:rsid w:val="00FC6FAD"/>
    <w:rsid w:val="00FC70D2"/>
    <w:rsid w:val="00FC7580"/>
    <w:rsid w:val="00FD0389"/>
    <w:rsid w:val="00FD1B02"/>
    <w:rsid w:val="00FD1F9C"/>
    <w:rsid w:val="00FD2645"/>
    <w:rsid w:val="00FD3EFC"/>
    <w:rsid w:val="00FD4306"/>
    <w:rsid w:val="00FD434E"/>
    <w:rsid w:val="00FD4702"/>
    <w:rsid w:val="00FD57E5"/>
    <w:rsid w:val="00FD5933"/>
    <w:rsid w:val="00FD5DEC"/>
    <w:rsid w:val="00FD5EF8"/>
    <w:rsid w:val="00FE0459"/>
    <w:rsid w:val="00FE1803"/>
    <w:rsid w:val="00FE18A8"/>
    <w:rsid w:val="00FE1B74"/>
    <w:rsid w:val="00FE1D4F"/>
    <w:rsid w:val="00FE29E4"/>
    <w:rsid w:val="00FE30DF"/>
    <w:rsid w:val="00FE3677"/>
    <w:rsid w:val="00FE3877"/>
    <w:rsid w:val="00FE3FE8"/>
    <w:rsid w:val="00FE4B7C"/>
    <w:rsid w:val="00FE72AB"/>
    <w:rsid w:val="00FE7635"/>
    <w:rsid w:val="00FE7822"/>
    <w:rsid w:val="00FE7B9A"/>
    <w:rsid w:val="00FE7EF0"/>
    <w:rsid w:val="00FF12B0"/>
    <w:rsid w:val="00FF1DCC"/>
    <w:rsid w:val="00FF2095"/>
    <w:rsid w:val="00FF2A2C"/>
    <w:rsid w:val="00FF3E6F"/>
    <w:rsid w:val="00FF51A3"/>
    <w:rsid w:val="00FF54FA"/>
    <w:rsid w:val="00FF5D81"/>
    <w:rsid w:val="00FF6575"/>
    <w:rsid w:val="00FF6FF7"/>
    <w:rsid w:val="00FF712E"/>
    <w:rsid w:val="00FF7278"/>
    <w:rsid w:val="00FF7427"/>
    <w:rsid w:val="00FF76E1"/>
    <w:rsid w:val="00FF78AA"/>
    <w:rsid w:val="00FF7B24"/>
    <w:rsid w:val="0123C24C"/>
    <w:rsid w:val="01345ACD"/>
    <w:rsid w:val="0136C1B3"/>
    <w:rsid w:val="01374035"/>
    <w:rsid w:val="01403BE0"/>
    <w:rsid w:val="016BE5A8"/>
    <w:rsid w:val="0177B3FA"/>
    <w:rsid w:val="01C0D444"/>
    <w:rsid w:val="01D2CC55"/>
    <w:rsid w:val="0226639E"/>
    <w:rsid w:val="022ABD93"/>
    <w:rsid w:val="0242506E"/>
    <w:rsid w:val="02882A80"/>
    <w:rsid w:val="028CF631"/>
    <w:rsid w:val="02AF6FE8"/>
    <w:rsid w:val="035B67B3"/>
    <w:rsid w:val="0360B303"/>
    <w:rsid w:val="0381C7EB"/>
    <w:rsid w:val="039B9539"/>
    <w:rsid w:val="03A0B3DF"/>
    <w:rsid w:val="03BAA5E3"/>
    <w:rsid w:val="03DC391E"/>
    <w:rsid w:val="03E57774"/>
    <w:rsid w:val="03E6DF54"/>
    <w:rsid w:val="04042F34"/>
    <w:rsid w:val="04464DFB"/>
    <w:rsid w:val="045B630E"/>
    <w:rsid w:val="04722ABD"/>
    <w:rsid w:val="0494E9D7"/>
    <w:rsid w:val="049EDD74"/>
    <w:rsid w:val="04BC8DBF"/>
    <w:rsid w:val="04C7453A"/>
    <w:rsid w:val="04EA255A"/>
    <w:rsid w:val="04FB3126"/>
    <w:rsid w:val="050012E6"/>
    <w:rsid w:val="05033762"/>
    <w:rsid w:val="05087D83"/>
    <w:rsid w:val="05107938"/>
    <w:rsid w:val="0517B584"/>
    <w:rsid w:val="05189434"/>
    <w:rsid w:val="0519B658"/>
    <w:rsid w:val="05268CE5"/>
    <w:rsid w:val="052E0B4E"/>
    <w:rsid w:val="05346676"/>
    <w:rsid w:val="054673A6"/>
    <w:rsid w:val="058FB616"/>
    <w:rsid w:val="0599EADC"/>
    <w:rsid w:val="05C97D99"/>
    <w:rsid w:val="05D3690F"/>
    <w:rsid w:val="0607063C"/>
    <w:rsid w:val="061361F1"/>
    <w:rsid w:val="062FB392"/>
    <w:rsid w:val="06672BC5"/>
    <w:rsid w:val="06A6F5C4"/>
    <w:rsid w:val="06B5AC1F"/>
    <w:rsid w:val="06D76CBC"/>
    <w:rsid w:val="06DDD90D"/>
    <w:rsid w:val="06E73A87"/>
    <w:rsid w:val="06F6E0D4"/>
    <w:rsid w:val="0732086A"/>
    <w:rsid w:val="073E10D1"/>
    <w:rsid w:val="07454521"/>
    <w:rsid w:val="075564C7"/>
    <w:rsid w:val="0798D558"/>
    <w:rsid w:val="0798E4A9"/>
    <w:rsid w:val="07B14EED"/>
    <w:rsid w:val="07BED47A"/>
    <w:rsid w:val="07F1DC34"/>
    <w:rsid w:val="0807C40E"/>
    <w:rsid w:val="081E9612"/>
    <w:rsid w:val="0836FA61"/>
    <w:rsid w:val="083D7B1B"/>
    <w:rsid w:val="0858C757"/>
    <w:rsid w:val="08855DBE"/>
    <w:rsid w:val="088A4B54"/>
    <w:rsid w:val="0899621A"/>
    <w:rsid w:val="08F05F35"/>
    <w:rsid w:val="08F786EB"/>
    <w:rsid w:val="09408BB2"/>
    <w:rsid w:val="094491D0"/>
    <w:rsid w:val="09BE2925"/>
    <w:rsid w:val="09D4DE83"/>
    <w:rsid w:val="09D82066"/>
    <w:rsid w:val="09E79656"/>
    <w:rsid w:val="0A24311D"/>
    <w:rsid w:val="0A405375"/>
    <w:rsid w:val="0A62B0F6"/>
    <w:rsid w:val="0A8C56D4"/>
    <w:rsid w:val="0A8C9D89"/>
    <w:rsid w:val="0B39A14F"/>
    <w:rsid w:val="0B3FFA43"/>
    <w:rsid w:val="0B7A5CF1"/>
    <w:rsid w:val="0B8BE96E"/>
    <w:rsid w:val="0B9A74C2"/>
    <w:rsid w:val="0CBA9B1B"/>
    <w:rsid w:val="0D12F323"/>
    <w:rsid w:val="0D218968"/>
    <w:rsid w:val="0D2D6FEA"/>
    <w:rsid w:val="0D2EB5CE"/>
    <w:rsid w:val="0DB2849B"/>
    <w:rsid w:val="0DCC636C"/>
    <w:rsid w:val="0DD20D76"/>
    <w:rsid w:val="0DD97AF6"/>
    <w:rsid w:val="0DDDE37C"/>
    <w:rsid w:val="0E33BB8F"/>
    <w:rsid w:val="0E3A0C8C"/>
    <w:rsid w:val="0E4D0B2A"/>
    <w:rsid w:val="0E5BFA59"/>
    <w:rsid w:val="0E8A5550"/>
    <w:rsid w:val="0EA8A5EF"/>
    <w:rsid w:val="0EC0C86F"/>
    <w:rsid w:val="0EC65372"/>
    <w:rsid w:val="0EC74CB0"/>
    <w:rsid w:val="0ECCCED7"/>
    <w:rsid w:val="0EEDAED6"/>
    <w:rsid w:val="0EEE8CD3"/>
    <w:rsid w:val="0EF6ECA6"/>
    <w:rsid w:val="0F042069"/>
    <w:rsid w:val="0F1107D9"/>
    <w:rsid w:val="0F3D9240"/>
    <w:rsid w:val="0F70C836"/>
    <w:rsid w:val="0F74E872"/>
    <w:rsid w:val="0F7EB676"/>
    <w:rsid w:val="0F7EC7A2"/>
    <w:rsid w:val="0F8D57B2"/>
    <w:rsid w:val="0F9D0FC4"/>
    <w:rsid w:val="0FC6EDA5"/>
    <w:rsid w:val="0FCCB3DD"/>
    <w:rsid w:val="0FD1439B"/>
    <w:rsid w:val="0FDC1BB2"/>
    <w:rsid w:val="0FE2326A"/>
    <w:rsid w:val="10193D48"/>
    <w:rsid w:val="10373EE8"/>
    <w:rsid w:val="103DD853"/>
    <w:rsid w:val="105BF4D5"/>
    <w:rsid w:val="1069A03D"/>
    <w:rsid w:val="1078957D"/>
    <w:rsid w:val="1090CD35"/>
    <w:rsid w:val="109EEA67"/>
    <w:rsid w:val="109FE8FD"/>
    <w:rsid w:val="10A081F1"/>
    <w:rsid w:val="10B0FCAA"/>
    <w:rsid w:val="10B3C8A6"/>
    <w:rsid w:val="10B6CE75"/>
    <w:rsid w:val="10CC416F"/>
    <w:rsid w:val="10E95066"/>
    <w:rsid w:val="1106931B"/>
    <w:rsid w:val="1119216B"/>
    <w:rsid w:val="1142F8FB"/>
    <w:rsid w:val="11488173"/>
    <w:rsid w:val="115272C5"/>
    <w:rsid w:val="119709B0"/>
    <w:rsid w:val="1199A569"/>
    <w:rsid w:val="11B39AAB"/>
    <w:rsid w:val="11B80ACB"/>
    <w:rsid w:val="11C1FDCB"/>
    <w:rsid w:val="11C4B4E9"/>
    <w:rsid w:val="11C79767"/>
    <w:rsid w:val="11C8D892"/>
    <w:rsid w:val="11DF5117"/>
    <w:rsid w:val="122C5C17"/>
    <w:rsid w:val="1261F81D"/>
    <w:rsid w:val="12774558"/>
    <w:rsid w:val="127942C5"/>
    <w:rsid w:val="12921966"/>
    <w:rsid w:val="129CE1F4"/>
    <w:rsid w:val="12B6CA50"/>
    <w:rsid w:val="12CE61E7"/>
    <w:rsid w:val="12D527FA"/>
    <w:rsid w:val="12F5C7FC"/>
    <w:rsid w:val="1304E8C3"/>
    <w:rsid w:val="1336336E"/>
    <w:rsid w:val="133B5511"/>
    <w:rsid w:val="133DBDE0"/>
    <w:rsid w:val="1347CDC3"/>
    <w:rsid w:val="134945C0"/>
    <w:rsid w:val="137FC0E1"/>
    <w:rsid w:val="1398CA51"/>
    <w:rsid w:val="13ACC9DB"/>
    <w:rsid w:val="13CAAEBC"/>
    <w:rsid w:val="13D11125"/>
    <w:rsid w:val="13D45529"/>
    <w:rsid w:val="13E2F678"/>
    <w:rsid w:val="13F32BFE"/>
    <w:rsid w:val="1400B98A"/>
    <w:rsid w:val="1410D2AD"/>
    <w:rsid w:val="144FCFE0"/>
    <w:rsid w:val="14628F53"/>
    <w:rsid w:val="1463BD08"/>
    <w:rsid w:val="1475C228"/>
    <w:rsid w:val="14A4E3D5"/>
    <w:rsid w:val="14A9D9F5"/>
    <w:rsid w:val="14AA9D80"/>
    <w:rsid w:val="14CD7FB8"/>
    <w:rsid w:val="14E3938C"/>
    <w:rsid w:val="14E9A70A"/>
    <w:rsid w:val="14EAD59B"/>
    <w:rsid w:val="150D25FC"/>
    <w:rsid w:val="151D5640"/>
    <w:rsid w:val="154F7F1D"/>
    <w:rsid w:val="15638687"/>
    <w:rsid w:val="15E19A9C"/>
    <w:rsid w:val="160C0F0D"/>
    <w:rsid w:val="1614873F"/>
    <w:rsid w:val="162E9EF2"/>
    <w:rsid w:val="16552A58"/>
    <w:rsid w:val="165B93DE"/>
    <w:rsid w:val="169063BC"/>
    <w:rsid w:val="169AC856"/>
    <w:rsid w:val="169CE3F8"/>
    <w:rsid w:val="16B8833F"/>
    <w:rsid w:val="16EBBC72"/>
    <w:rsid w:val="16ECE666"/>
    <w:rsid w:val="16F20440"/>
    <w:rsid w:val="171C8F78"/>
    <w:rsid w:val="175C66D6"/>
    <w:rsid w:val="1770791C"/>
    <w:rsid w:val="1778B495"/>
    <w:rsid w:val="1781C487"/>
    <w:rsid w:val="17D4F2F1"/>
    <w:rsid w:val="17E0434A"/>
    <w:rsid w:val="17F4C251"/>
    <w:rsid w:val="1803E6F2"/>
    <w:rsid w:val="181A252B"/>
    <w:rsid w:val="182C51B9"/>
    <w:rsid w:val="1846B0E4"/>
    <w:rsid w:val="18590499"/>
    <w:rsid w:val="185F87F2"/>
    <w:rsid w:val="186F95C7"/>
    <w:rsid w:val="1890D276"/>
    <w:rsid w:val="18C03B51"/>
    <w:rsid w:val="18C1A1DF"/>
    <w:rsid w:val="18D86F70"/>
    <w:rsid w:val="18FD4681"/>
    <w:rsid w:val="191F2FAB"/>
    <w:rsid w:val="192954C1"/>
    <w:rsid w:val="192D4638"/>
    <w:rsid w:val="1937D7DB"/>
    <w:rsid w:val="1945D155"/>
    <w:rsid w:val="1959B97B"/>
    <w:rsid w:val="19632C67"/>
    <w:rsid w:val="1968555E"/>
    <w:rsid w:val="1983DB29"/>
    <w:rsid w:val="19A06497"/>
    <w:rsid w:val="19A082FF"/>
    <w:rsid w:val="19AEFBAB"/>
    <w:rsid w:val="1A4EA6CF"/>
    <w:rsid w:val="1A4F61A6"/>
    <w:rsid w:val="1A512813"/>
    <w:rsid w:val="1A59BFE0"/>
    <w:rsid w:val="1A7C625B"/>
    <w:rsid w:val="1A9980F8"/>
    <w:rsid w:val="1ACD8901"/>
    <w:rsid w:val="1AEEC527"/>
    <w:rsid w:val="1AF8F74F"/>
    <w:rsid w:val="1AFCCC63"/>
    <w:rsid w:val="1B230AF1"/>
    <w:rsid w:val="1B2C6313"/>
    <w:rsid w:val="1B30D2BE"/>
    <w:rsid w:val="1B595869"/>
    <w:rsid w:val="1BA3956E"/>
    <w:rsid w:val="1BC711D3"/>
    <w:rsid w:val="1BDC4F4D"/>
    <w:rsid w:val="1BE8997A"/>
    <w:rsid w:val="1BEBCF4F"/>
    <w:rsid w:val="1C23313B"/>
    <w:rsid w:val="1C27AF90"/>
    <w:rsid w:val="1C6CD653"/>
    <w:rsid w:val="1C71DFF0"/>
    <w:rsid w:val="1C806F66"/>
    <w:rsid w:val="1C8A052A"/>
    <w:rsid w:val="1CDCBF58"/>
    <w:rsid w:val="1CDD1821"/>
    <w:rsid w:val="1CE52F21"/>
    <w:rsid w:val="1D4191D1"/>
    <w:rsid w:val="1D475B1A"/>
    <w:rsid w:val="1D62E234"/>
    <w:rsid w:val="1D85D53E"/>
    <w:rsid w:val="1D8AFA19"/>
    <w:rsid w:val="1D8D7A51"/>
    <w:rsid w:val="1D9891FD"/>
    <w:rsid w:val="1DF4ADA2"/>
    <w:rsid w:val="1E11A3A0"/>
    <w:rsid w:val="1E4DA47A"/>
    <w:rsid w:val="1E5F83D8"/>
    <w:rsid w:val="1EA58E01"/>
    <w:rsid w:val="1EA6E42F"/>
    <w:rsid w:val="1EA8271C"/>
    <w:rsid w:val="1EB8F010"/>
    <w:rsid w:val="1EF82AD6"/>
    <w:rsid w:val="1EFC57C6"/>
    <w:rsid w:val="1EFCD3F0"/>
    <w:rsid w:val="1F2C85C1"/>
    <w:rsid w:val="1F2D87A8"/>
    <w:rsid w:val="1F35181F"/>
    <w:rsid w:val="1F4864E8"/>
    <w:rsid w:val="1F849B88"/>
    <w:rsid w:val="1FB4E2EC"/>
    <w:rsid w:val="204765B3"/>
    <w:rsid w:val="206F8A0E"/>
    <w:rsid w:val="20A436B2"/>
    <w:rsid w:val="20A46C67"/>
    <w:rsid w:val="20BD3530"/>
    <w:rsid w:val="20C08921"/>
    <w:rsid w:val="20C7AAC9"/>
    <w:rsid w:val="20FEB250"/>
    <w:rsid w:val="2110CF9D"/>
    <w:rsid w:val="211209C4"/>
    <w:rsid w:val="213E4C6A"/>
    <w:rsid w:val="213FDDE6"/>
    <w:rsid w:val="216DB9EB"/>
    <w:rsid w:val="2171B372"/>
    <w:rsid w:val="21D3A9CF"/>
    <w:rsid w:val="21D59A5C"/>
    <w:rsid w:val="21EA31BA"/>
    <w:rsid w:val="221F435E"/>
    <w:rsid w:val="22274E3D"/>
    <w:rsid w:val="222EA8D8"/>
    <w:rsid w:val="224C687D"/>
    <w:rsid w:val="2254606E"/>
    <w:rsid w:val="22747905"/>
    <w:rsid w:val="22BD0E8A"/>
    <w:rsid w:val="22DCA5F0"/>
    <w:rsid w:val="22E9C775"/>
    <w:rsid w:val="2319B914"/>
    <w:rsid w:val="231A8DF5"/>
    <w:rsid w:val="2355DE31"/>
    <w:rsid w:val="23582F4B"/>
    <w:rsid w:val="2386ED4E"/>
    <w:rsid w:val="23B2A8F8"/>
    <w:rsid w:val="23D78B27"/>
    <w:rsid w:val="23E842DC"/>
    <w:rsid w:val="241DAA19"/>
    <w:rsid w:val="241E192B"/>
    <w:rsid w:val="24331159"/>
    <w:rsid w:val="245DFE89"/>
    <w:rsid w:val="24A4D47A"/>
    <w:rsid w:val="24A55CF5"/>
    <w:rsid w:val="24B4D6BF"/>
    <w:rsid w:val="24D1151B"/>
    <w:rsid w:val="24F1F424"/>
    <w:rsid w:val="24F3911A"/>
    <w:rsid w:val="24F47C10"/>
    <w:rsid w:val="250B2A27"/>
    <w:rsid w:val="2511C1C0"/>
    <w:rsid w:val="25157697"/>
    <w:rsid w:val="251829DE"/>
    <w:rsid w:val="25335F3C"/>
    <w:rsid w:val="258DD716"/>
    <w:rsid w:val="259B25FB"/>
    <w:rsid w:val="25E84307"/>
    <w:rsid w:val="25F83011"/>
    <w:rsid w:val="2613B003"/>
    <w:rsid w:val="2618CDC9"/>
    <w:rsid w:val="2652BB3B"/>
    <w:rsid w:val="26B76033"/>
    <w:rsid w:val="26DFBD19"/>
    <w:rsid w:val="26E9FE4F"/>
    <w:rsid w:val="270AC525"/>
    <w:rsid w:val="2729F196"/>
    <w:rsid w:val="2744C422"/>
    <w:rsid w:val="27575785"/>
    <w:rsid w:val="275C0955"/>
    <w:rsid w:val="27878E11"/>
    <w:rsid w:val="27B95A6B"/>
    <w:rsid w:val="27C86E3C"/>
    <w:rsid w:val="27E49A2E"/>
    <w:rsid w:val="27E8B12A"/>
    <w:rsid w:val="27FBAF82"/>
    <w:rsid w:val="27FED21E"/>
    <w:rsid w:val="27FFBB3C"/>
    <w:rsid w:val="28188BE5"/>
    <w:rsid w:val="283477C2"/>
    <w:rsid w:val="284F0AF4"/>
    <w:rsid w:val="286A35FD"/>
    <w:rsid w:val="28800723"/>
    <w:rsid w:val="2884C3ED"/>
    <w:rsid w:val="289EA46F"/>
    <w:rsid w:val="28A01191"/>
    <w:rsid w:val="28A76C6C"/>
    <w:rsid w:val="28E041FE"/>
    <w:rsid w:val="28E2C71C"/>
    <w:rsid w:val="28FC90EA"/>
    <w:rsid w:val="291819D9"/>
    <w:rsid w:val="296E96F1"/>
    <w:rsid w:val="29851A0C"/>
    <w:rsid w:val="299A7E52"/>
    <w:rsid w:val="299C1C6D"/>
    <w:rsid w:val="29D27184"/>
    <w:rsid w:val="29EADB55"/>
    <w:rsid w:val="29F8189E"/>
    <w:rsid w:val="2A1CF9D5"/>
    <w:rsid w:val="2A35C3C6"/>
    <w:rsid w:val="2A579AFB"/>
    <w:rsid w:val="2A90B3B8"/>
    <w:rsid w:val="2AB13DC2"/>
    <w:rsid w:val="2B2C4EC0"/>
    <w:rsid w:val="2B3C15E6"/>
    <w:rsid w:val="2B60A2F9"/>
    <w:rsid w:val="2B96BD3B"/>
    <w:rsid w:val="2BA29169"/>
    <w:rsid w:val="2BB53D6B"/>
    <w:rsid w:val="2BC7D032"/>
    <w:rsid w:val="2BCB8F1B"/>
    <w:rsid w:val="2BE00546"/>
    <w:rsid w:val="2C0ED302"/>
    <w:rsid w:val="2C2D7F9C"/>
    <w:rsid w:val="2C58DB29"/>
    <w:rsid w:val="2C5F2DB8"/>
    <w:rsid w:val="2C74A263"/>
    <w:rsid w:val="2C7925B1"/>
    <w:rsid w:val="2C8F3D22"/>
    <w:rsid w:val="2CA9F5EC"/>
    <w:rsid w:val="2CC51410"/>
    <w:rsid w:val="2CF0CBDD"/>
    <w:rsid w:val="2CFBF3CA"/>
    <w:rsid w:val="2CFF1257"/>
    <w:rsid w:val="2D078A87"/>
    <w:rsid w:val="2D128AE8"/>
    <w:rsid w:val="2D17D4D2"/>
    <w:rsid w:val="2D3587EE"/>
    <w:rsid w:val="2D3C4E91"/>
    <w:rsid w:val="2D4FF590"/>
    <w:rsid w:val="2D5B54D0"/>
    <w:rsid w:val="2D80F384"/>
    <w:rsid w:val="2D94FC98"/>
    <w:rsid w:val="2DB4BB27"/>
    <w:rsid w:val="2DE3540D"/>
    <w:rsid w:val="2DE8AA3A"/>
    <w:rsid w:val="2DF16855"/>
    <w:rsid w:val="2DF51655"/>
    <w:rsid w:val="2E139050"/>
    <w:rsid w:val="2E16DFE1"/>
    <w:rsid w:val="2E3B41A3"/>
    <w:rsid w:val="2E50C08A"/>
    <w:rsid w:val="2E5292F2"/>
    <w:rsid w:val="2EB364A0"/>
    <w:rsid w:val="2ECDF0ED"/>
    <w:rsid w:val="2ED1584F"/>
    <w:rsid w:val="2EE77086"/>
    <w:rsid w:val="2EEAA8B3"/>
    <w:rsid w:val="2EF2105D"/>
    <w:rsid w:val="2EF56703"/>
    <w:rsid w:val="2F1CC3E5"/>
    <w:rsid w:val="2F288E41"/>
    <w:rsid w:val="2F3C8403"/>
    <w:rsid w:val="2F683445"/>
    <w:rsid w:val="2F8E62EA"/>
    <w:rsid w:val="2FB73945"/>
    <w:rsid w:val="2FDC0DC6"/>
    <w:rsid w:val="2FEE2521"/>
    <w:rsid w:val="3017F769"/>
    <w:rsid w:val="303E1B76"/>
    <w:rsid w:val="30737ABC"/>
    <w:rsid w:val="3081B5A3"/>
    <w:rsid w:val="3093BD08"/>
    <w:rsid w:val="30E23419"/>
    <w:rsid w:val="3109D4C6"/>
    <w:rsid w:val="311CC70A"/>
    <w:rsid w:val="31400A12"/>
    <w:rsid w:val="3143DA3B"/>
    <w:rsid w:val="3153BE8A"/>
    <w:rsid w:val="315BE4A7"/>
    <w:rsid w:val="3168968F"/>
    <w:rsid w:val="3170EFA5"/>
    <w:rsid w:val="3172B32B"/>
    <w:rsid w:val="31745CAA"/>
    <w:rsid w:val="31B7E0C5"/>
    <w:rsid w:val="31C5098F"/>
    <w:rsid w:val="31C70956"/>
    <w:rsid w:val="31D21DD8"/>
    <w:rsid w:val="31D53A01"/>
    <w:rsid w:val="320288A3"/>
    <w:rsid w:val="3235FDF0"/>
    <w:rsid w:val="323B4C1E"/>
    <w:rsid w:val="327AC31D"/>
    <w:rsid w:val="327E047A"/>
    <w:rsid w:val="327E6626"/>
    <w:rsid w:val="32885A75"/>
    <w:rsid w:val="32B226A1"/>
    <w:rsid w:val="32C28BE4"/>
    <w:rsid w:val="32DAD2D7"/>
    <w:rsid w:val="32DF2370"/>
    <w:rsid w:val="32EB3F1E"/>
    <w:rsid w:val="32F94E38"/>
    <w:rsid w:val="3306E9F3"/>
    <w:rsid w:val="333720B1"/>
    <w:rsid w:val="333EA80C"/>
    <w:rsid w:val="333FA92D"/>
    <w:rsid w:val="3348435B"/>
    <w:rsid w:val="336F64BD"/>
    <w:rsid w:val="337E6FB8"/>
    <w:rsid w:val="33B861CA"/>
    <w:rsid w:val="33C029D1"/>
    <w:rsid w:val="33D819F3"/>
    <w:rsid w:val="33EF21D9"/>
    <w:rsid w:val="33F35278"/>
    <w:rsid w:val="3415C667"/>
    <w:rsid w:val="342B5A2A"/>
    <w:rsid w:val="342E8C8C"/>
    <w:rsid w:val="343873A2"/>
    <w:rsid w:val="344EB89F"/>
    <w:rsid w:val="34570247"/>
    <w:rsid w:val="34671B29"/>
    <w:rsid w:val="347AD3D7"/>
    <w:rsid w:val="3484D85A"/>
    <w:rsid w:val="34868FF4"/>
    <w:rsid w:val="349A0F40"/>
    <w:rsid w:val="349E8555"/>
    <w:rsid w:val="34A26732"/>
    <w:rsid w:val="34C9AA69"/>
    <w:rsid w:val="34DF3391"/>
    <w:rsid w:val="34F891E1"/>
    <w:rsid w:val="3502F1F1"/>
    <w:rsid w:val="351A4019"/>
    <w:rsid w:val="354C6907"/>
    <w:rsid w:val="354D41EC"/>
    <w:rsid w:val="35749A9B"/>
    <w:rsid w:val="3591C916"/>
    <w:rsid w:val="3594C79E"/>
    <w:rsid w:val="35A8F893"/>
    <w:rsid w:val="35B4307C"/>
    <w:rsid w:val="365442BE"/>
    <w:rsid w:val="365DB872"/>
    <w:rsid w:val="3669ED72"/>
    <w:rsid w:val="368499E0"/>
    <w:rsid w:val="369A3A6F"/>
    <w:rsid w:val="36A72292"/>
    <w:rsid w:val="36B7C6AC"/>
    <w:rsid w:val="36BBB30B"/>
    <w:rsid w:val="36C00C1E"/>
    <w:rsid w:val="36E201E7"/>
    <w:rsid w:val="36E97131"/>
    <w:rsid w:val="370CD391"/>
    <w:rsid w:val="3723772C"/>
    <w:rsid w:val="3745AB25"/>
    <w:rsid w:val="376CDEAE"/>
    <w:rsid w:val="37AD3D70"/>
    <w:rsid w:val="37C00BE1"/>
    <w:rsid w:val="37CF2D42"/>
    <w:rsid w:val="37DBF6FD"/>
    <w:rsid w:val="37FF517F"/>
    <w:rsid w:val="38286E65"/>
    <w:rsid w:val="388CD610"/>
    <w:rsid w:val="389CE3BE"/>
    <w:rsid w:val="38AEEBA6"/>
    <w:rsid w:val="38DEF439"/>
    <w:rsid w:val="38F150B1"/>
    <w:rsid w:val="38F2930F"/>
    <w:rsid w:val="390F0A61"/>
    <w:rsid w:val="39181926"/>
    <w:rsid w:val="391CF70C"/>
    <w:rsid w:val="39334F94"/>
    <w:rsid w:val="3938F43F"/>
    <w:rsid w:val="39494F14"/>
    <w:rsid w:val="394E8FCC"/>
    <w:rsid w:val="395804CD"/>
    <w:rsid w:val="396DDD96"/>
    <w:rsid w:val="39E10E5D"/>
    <w:rsid w:val="39E574C8"/>
    <w:rsid w:val="39E7EE7F"/>
    <w:rsid w:val="39FD8E02"/>
    <w:rsid w:val="3A31049E"/>
    <w:rsid w:val="3A3BCEAB"/>
    <w:rsid w:val="3AA97134"/>
    <w:rsid w:val="3ABACB5A"/>
    <w:rsid w:val="3B17F79B"/>
    <w:rsid w:val="3B1F552E"/>
    <w:rsid w:val="3B343D28"/>
    <w:rsid w:val="3B549169"/>
    <w:rsid w:val="3B751352"/>
    <w:rsid w:val="3B822EE3"/>
    <w:rsid w:val="3B8AB0E4"/>
    <w:rsid w:val="3B9843C6"/>
    <w:rsid w:val="3B9BDDCF"/>
    <w:rsid w:val="3BA1B034"/>
    <w:rsid w:val="3BA4274D"/>
    <w:rsid w:val="3BA9B829"/>
    <w:rsid w:val="3BAC2560"/>
    <w:rsid w:val="3BB66F29"/>
    <w:rsid w:val="3BCCA542"/>
    <w:rsid w:val="3BE4A7E4"/>
    <w:rsid w:val="3C27673B"/>
    <w:rsid w:val="3C716298"/>
    <w:rsid w:val="3C72A7E3"/>
    <w:rsid w:val="3C7A711D"/>
    <w:rsid w:val="3CC6360D"/>
    <w:rsid w:val="3CCBABAB"/>
    <w:rsid w:val="3CD9D2C8"/>
    <w:rsid w:val="3CE13936"/>
    <w:rsid w:val="3CE49564"/>
    <w:rsid w:val="3D05830E"/>
    <w:rsid w:val="3D0C95A5"/>
    <w:rsid w:val="3D28939B"/>
    <w:rsid w:val="3D304412"/>
    <w:rsid w:val="3D48D4F7"/>
    <w:rsid w:val="3D64D2F0"/>
    <w:rsid w:val="3DD7C948"/>
    <w:rsid w:val="3DF426D5"/>
    <w:rsid w:val="3E31D5FE"/>
    <w:rsid w:val="3E42300D"/>
    <w:rsid w:val="3E5B806E"/>
    <w:rsid w:val="3E64DE54"/>
    <w:rsid w:val="3E6AC4C9"/>
    <w:rsid w:val="3E805499"/>
    <w:rsid w:val="3E9B48F7"/>
    <w:rsid w:val="3EA6D213"/>
    <w:rsid w:val="3EBB937F"/>
    <w:rsid w:val="3EC14A63"/>
    <w:rsid w:val="3EC997BE"/>
    <w:rsid w:val="3EE1032B"/>
    <w:rsid w:val="3EFA7076"/>
    <w:rsid w:val="3F018B36"/>
    <w:rsid w:val="3F1A9AC4"/>
    <w:rsid w:val="3F23BC9B"/>
    <w:rsid w:val="3F347A61"/>
    <w:rsid w:val="3F40F1AF"/>
    <w:rsid w:val="3FBD21E1"/>
    <w:rsid w:val="3FFCF42F"/>
    <w:rsid w:val="3FFE4C32"/>
    <w:rsid w:val="4010DC44"/>
    <w:rsid w:val="4011E0B3"/>
    <w:rsid w:val="40130D46"/>
    <w:rsid w:val="40211706"/>
    <w:rsid w:val="405A77B4"/>
    <w:rsid w:val="407731AB"/>
    <w:rsid w:val="4080160E"/>
    <w:rsid w:val="40987492"/>
    <w:rsid w:val="40B35103"/>
    <w:rsid w:val="40BEC5E5"/>
    <w:rsid w:val="40BF9FDC"/>
    <w:rsid w:val="40D058F6"/>
    <w:rsid w:val="40D971BA"/>
    <w:rsid w:val="40F0E5A4"/>
    <w:rsid w:val="40F3409C"/>
    <w:rsid w:val="40F740F6"/>
    <w:rsid w:val="41197D9D"/>
    <w:rsid w:val="413096C3"/>
    <w:rsid w:val="4140B09B"/>
    <w:rsid w:val="415B87A0"/>
    <w:rsid w:val="416A48BD"/>
    <w:rsid w:val="416C51FD"/>
    <w:rsid w:val="418379F0"/>
    <w:rsid w:val="419ADD08"/>
    <w:rsid w:val="41A3D336"/>
    <w:rsid w:val="41A437DD"/>
    <w:rsid w:val="41CB9FDD"/>
    <w:rsid w:val="41CD1E98"/>
    <w:rsid w:val="4218C616"/>
    <w:rsid w:val="423DC9E7"/>
    <w:rsid w:val="4245B133"/>
    <w:rsid w:val="424C7EDA"/>
    <w:rsid w:val="42696DD4"/>
    <w:rsid w:val="427A6B82"/>
    <w:rsid w:val="429C15CA"/>
    <w:rsid w:val="430EA74C"/>
    <w:rsid w:val="4339410F"/>
    <w:rsid w:val="433AD466"/>
    <w:rsid w:val="4361E360"/>
    <w:rsid w:val="437265D2"/>
    <w:rsid w:val="437CB484"/>
    <w:rsid w:val="438E627C"/>
    <w:rsid w:val="439FAE98"/>
    <w:rsid w:val="43B20935"/>
    <w:rsid w:val="43BFD70C"/>
    <w:rsid w:val="43D1789C"/>
    <w:rsid w:val="43D60CB2"/>
    <w:rsid w:val="43E18194"/>
    <w:rsid w:val="441B66A2"/>
    <w:rsid w:val="442398FF"/>
    <w:rsid w:val="4441BBF9"/>
    <w:rsid w:val="44420DFB"/>
    <w:rsid w:val="4444ECC9"/>
    <w:rsid w:val="447DE5A9"/>
    <w:rsid w:val="44984A2F"/>
    <w:rsid w:val="44CE82B6"/>
    <w:rsid w:val="45090FB0"/>
    <w:rsid w:val="451F1916"/>
    <w:rsid w:val="454A7F54"/>
    <w:rsid w:val="45681031"/>
    <w:rsid w:val="457D51F5"/>
    <w:rsid w:val="458620F3"/>
    <w:rsid w:val="458B02CF"/>
    <w:rsid w:val="45AE969A"/>
    <w:rsid w:val="45BBC8AF"/>
    <w:rsid w:val="45E9A45B"/>
    <w:rsid w:val="45ECB359"/>
    <w:rsid w:val="45F489A8"/>
    <w:rsid w:val="45F8C6FD"/>
    <w:rsid w:val="46100155"/>
    <w:rsid w:val="4610406C"/>
    <w:rsid w:val="4616C1AD"/>
    <w:rsid w:val="4634DE16"/>
    <w:rsid w:val="466E2571"/>
    <w:rsid w:val="469B190E"/>
    <w:rsid w:val="46CB8090"/>
    <w:rsid w:val="46DE3C19"/>
    <w:rsid w:val="46EA3C5A"/>
    <w:rsid w:val="4708B69B"/>
    <w:rsid w:val="47192256"/>
    <w:rsid w:val="474CCF1A"/>
    <w:rsid w:val="4752A1C2"/>
    <w:rsid w:val="47532933"/>
    <w:rsid w:val="476BF3FE"/>
    <w:rsid w:val="477ECF1F"/>
    <w:rsid w:val="47A97839"/>
    <w:rsid w:val="47B2D109"/>
    <w:rsid w:val="47E68581"/>
    <w:rsid w:val="480055E3"/>
    <w:rsid w:val="480242A7"/>
    <w:rsid w:val="4864A332"/>
    <w:rsid w:val="48731E26"/>
    <w:rsid w:val="48874239"/>
    <w:rsid w:val="4888AEBF"/>
    <w:rsid w:val="489AFBB3"/>
    <w:rsid w:val="48B6862A"/>
    <w:rsid w:val="48F0968A"/>
    <w:rsid w:val="4902C705"/>
    <w:rsid w:val="490B574E"/>
    <w:rsid w:val="4915D8CE"/>
    <w:rsid w:val="49341AA5"/>
    <w:rsid w:val="49358B05"/>
    <w:rsid w:val="494F415F"/>
    <w:rsid w:val="497BEDAE"/>
    <w:rsid w:val="4986ABE4"/>
    <w:rsid w:val="49931428"/>
    <w:rsid w:val="499F579A"/>
    <w:rsid w:val="4A0ACBD4"/>
    <w:rsid w:val="4A16C60F"/>
    <w:rsid w:val="4A199004"/>
    <w:rsid w:val="4A50C318"/>
    <w:rsid w:val="4A5CF6C6"/>
    <w:rsid w:val="4A5EBC33"/>
    <w:rsid w:val="4A886716"/>
    <w:rsid w:val="4AB7EDA9"/>
    <w:rsid w:val="4AD70A53"/>
    <w:rsid w:val="4ADE6F9C"/>
    <w:rsid w:val="4AE76D1F"/>
    <w:rsid w:val="4B288BBF"/>
    <w:rsid w:val="4B468C91"/>
    <w:rsid w:val="4B7E09D4"/>
    <w:rsid w:val="4B86F2B0"/>
    <w:rsid w:val="4BCC0C37"/>
    <w:rsid w:val="4BFDB623"/>
    <w:rsid w:val="4C00AE43"/>
    <w:rsid w:val="4C0A7C0A"/>
    <w:rsid w:val="4C17FA96"/>
    <w:rsid w:val="4C1D033D"/>
    <w:rsid w:val="4C364F3F"/>
    <w:rsid w:val="4C4B8883"/>
    <w:rsid w:val="4C537609"/>
    <w:rsid w:val="4C59CEFD"/>
    <w:rsid w:val="4C7874D9"/>
    <w:rsid w:val="4C872866"/>
    <w:rsid w:val="4C8B5AD7"/>
    <w:rsid w:val="4CBFEBD0"/>
    <w:rsid w:val="4CD992AD"/>
    <w:rsid w:val="4D04343D"/>
    <w:rsid w:val="4D06C234"/>
    <w:rsid w:val="4D2FD3DD"/>
    <w:rsid w:val="4D4D5EF2"/>
    <w:rsid w:val="4D7CBA81"/>
    <w:rsid w:val="4D8863DA"/>
    <w:rsid w:val="4D91A230"/>
    <w:rsid w:val="4DC8676D"/>
    <w:rsid w:val="4E1C730D"/>
    <w:rsid w:val="4E2B46BE"/>
    <w:rsid w:val="4E4EB85E"/>
    <w:rsid w:val="4E50C24E"/>
    <w:rsid w:val="4E750740"/>
    <w:rsid w:val="4E7AF2B1"/>
    <w:rsid w:val="4E8ACAAA"/>
    <w:rsid w:val="4EB84014"/>
    <w:rsid w:val="4ECF585D"/>
    <w:rsid w:val="4F0DB168"/>
    <w:rsid w:val="4F2E56E5"/>
    <w:rsid w:val="4F3FF134"/>
    <w:rsid w:val="4FC50EA8"/>
    <w:rsid w:val="4FF1E2D4"/>
    <w:rsid w:val="4FF91DB5"/>
    <w:rsid w:val="501320E5"/>
    <w:rsid w:val="505FE234"/>
    <w:rsid w:val="506CEB09"/>
    <w:rsid w:val="50B646CB"/>
    <w:rsid w:val="50BAF7C1"/>
    <w:rsid w:val="50CF1C98"/>
    <w:rsid w:val="50F8D125"/>
    <w:rsid w:val="50FD2E71"/>
    <w:rsid w:val="50FFF87F"/>
    <w:rsid w:val="5104B8F6"/>
    <w:rsid w:val="5139F303"/>
    <w:rsid w:val="517F6B69"/>
    <w:rsid w:val="518E5E61"/>
    <w:rsid w:val="51989908"/>
    <w:rsid w:val="51C8D20B"/>
    <w:rsid w:val="521A12A7"/>
    <w:rsid w:val="521E91D8"/>
    <w:rsid w:val="5221B0F6"/>
    <w:rsid w:val="522CF780"/>
    <w:rsid w:val="523F96CD"/>
    <w:rsid w:val="524C3FB2"/>
    <w:rsid w:val="52592FE2"/>
    <w:rsid w:val="5296E009"/>
    <w:rsid w:val="52AE2558"/>
    <w:rsid w:val="52D618A5"/>
    <w:rsid w:val="52E32266"/>
    <w:rsid w:val="530FD235"/>
    <w:rsid w:val="53267885"/>
    <w:rsid w:val="533B6FFD"/>
    <w:rsid w:val="5344D4F3"/>
    <w:rsid w:val="534A4E06"/>
    <w:rsid w:val="536F0114"/>
    <w:rsid w:val="5370A984"/>
    <w:rsid w:val="537D6A50"/>
    <w:rsid w:val="539BB540"/>
    <w:rsid w:val="53A738DA"/>
    <w:rsid w:val="53B35AC0"/>
    <w:rsid w:val="53EB991E"/>
    <w:rsid w:val="53F49309"/>
    <w:rsid w:val="5401996A"/>
    <w:rsid w:val="5421522F"/>
    <w:rsid w:val="542354AB"/>
    <w:rsid w:val="54293422"/>
    <w:rsid w:val="547AC5D8"/>
    <w:rsid w:val="5482B2D8"/>
    <w:rsid w:val="54DBA319"/>
    <w:rsid w:val="54E3A843"/>
    <w:rsid w:val="55069FF4"/>
    <w:rsid w:val="550A91D5"/>
    <w:rsid w:val="550BDD2B"/>
    <w:rsid w:val="5512124E"/>
    <w:rsid w:val="551E85AD"/>
    <w:rsid w:val="5542C907"/>
    <w:rsid w:val="554A6BB9"/>
    <w:rsid w:val="555C3A42"/>
    <w:rsid w:val="5564F0A3"/>
    <w:rsid w:val="556806AB"/>
    <w:rsid w:val="557CF656"/>
    <w:rsid w:val="5580DBFA"/>
    <w:rsid w:val="558890A1"/>
    <w:rsid w:val="55B26348"/>
    <w:rsid w:val="55BE9346"/>
    <w:rsid w:val="55C0FBEB"/>
    <w:rsid w:val="55C17AA4"/>
    <w:rsid w:val="562B1322"/>
    <w:rsid w:val="5643D1C3"/>
    <w:rsid w:val="56527937"/>
    <w:rsid w:val="56588CCB"/>
    <w:rsid w:val="56677ABE"/>
    <w:rsid w:val="56884CD4"/>
    <w:rsid w:val="56BEEC47"/>
    <w:rsid w:val="56F95F6E"/>
    <w:rsid w:val="570BD62B"/>
    <w:rsid w:val="5728C96C"/>
    <w:rsid w:val="5773792D"/>
    <w:rsid w:val="5773A2C9"/>
    <w:rsid w:val="57A6D6A7"/>
    <w:rsid w:val="57B0F6AA"/>
    <w:rsid w:val="57B2ACDC"/>
    <w:rsid w:val="57B61F61"/>
    <w:rsid w:val="57B8444F"/>
    <w:rsid w:val="57FF7EA5"/>
    <w:rsid w:val="58058BFD"/>
    <w:rsid w:val="5821B75E"/>
    <w:rsid w:val="5828B0FC"/>
    <w:rsid w:val="5839719E"/>
    <w:rsid w:val="58705673"/>
    <w:rsid w:val="589EF53D"/>
    <w:rsid w:val="58D2116A"/>
    <w:rsid w:val="58EECC1E"/>
    <w:rsid w:val="58FA6705"/>
    <w:rsid w:val="59027036"/>
    <w:rsid w:val="5912D738"/>
    <w:rsid w:val="591FAFF4"/>
    <w:rsid w:val="5954A26D"/>
    <w:rsid w:val="59AD9E9D"/>
    <w:rsid w:val="59D6AF21"/>
    <w:rsid w:val="5A3AC59E"/>
    <w:rsid w:val="5A3C7C6A"/>
    <w:rsid w:val="5A81546E"/>
    <w:rsid w:val="5A852E00"/>
    <w:rsid w:val="5A8F38B0"/>
    <w:rsid w:val="5AF2C8C8"/>
    <w:rsid w:val="5B210947"/>
    <w:rsid w:val="5B496EFE"/>
    <w:rsid w:val="5B61AA77"/>
    <w:rsid w:val="5B77BAB4"/>
    <w:rsid w:val="5B8D08CD"/>
    <w:rsid w:val="5BB741FA"/>
    <w:rsid w:val="5BCA74AB"/>
    <w:rsid w:val="5BD695FF"/>
    <w:rsid w:val="5BD9E85B"/>
    <w:rsid w:val="5BE74A44"/>
    <w:rsid w:val="5BFECDC8"/>
    <w:rsid w:val="5C24F285"/>
    <w:rsid w:val="5C2AD7EE"/>
    <w:rsid w:val="5C44C645"/>
    <w:rsid w:val="5C7D8F35"/>
    <w:rsid w:val="5C7FC928"/>
    <w:rsid w:val="5C8A63B1"/>
    <w:rsid w:val="5C9FE436"/>
    <w:rsid w:val="5CD7EE1C"/>
    <w:rsid w:val="5CE53F5F"/>
    <w:rsid w:val="5D1C9F8F"/>
    <w:rsid w:val="5D3939D0"/>
    <w:rsid w:val="5D67E32C"/>
    <w:rsid w:val="5D6E5B11"/>
    <w:rsid w:val="5D6E9BFA"/>
    <w:rsid w:val="5D71E633"/>
    <w:rsid w:val="5D802A65"/>
    <w:rsid w:val="5D804A1C"/>
    <w:rsid w:val="5D8297F0"/>
    <w:rsid w:val="5D889774"/>
    <w:rsid w:val="5D95E5A9"/>
    <w:rsid w:val="5DD2A33A"/>
    <w:rsid w:val="5DEA9F02"/>
    <w:rsid w:val="5E013AE4"/>
    <w:rsid w:val="5E0302D8"/>
    <w:rsid w:val="5E09A175"/>
    <w:rsid w:val="5E24B844"/>
    <w:rsid w:val="5E64730B"/>
    <w:rsid w:val="5E7056FC"/>
    <w:rsid w:val="5E71613C"/>
    <w:rsid w:val="5E72E49D"/>
    <w:rsid w:val="5E743076"/>
    <w:rsid w:val="5E85E22C"/>
    <w:rsid w:val="5EBF4F06"/>
    <w:rsid w:val="5EC7EC88"/>
    <w:rsid w:val="5ED367A2"/>
    <w:rsid w:val="5ED74209"/>
    <w:rsid w:val="5EE43550"/>
    <w:rsid w:val="5EE770EA"/>
    <w:rsid w:val="5F2E314F"/>
    <w:rsid w:val="5F8AFFED"/>
    <w:rsid w:val="5FB83242"/>
    <w:rsid w:val="5FD920C0"/>
    <w:rsid w:val="5FE37995"/>
    <w:rsid w:val="600AB271"/>
    <w:rsid w:val="601B44A7"/>
    <w:rsid w:val="601CE021"/>
    <w:rsid w:val="602A6393"/>
    <w:rsid w:val="6045B2F6"/>
    <w:rsid w:val="60A081CF"/>
    <w:rsid w:val="60A6FB05"/>
    <w:rsid w:val="60A86A56"/>
    <w:rsid w:val="60BA7DBE"/>
    <w:rsid w:val="60BDB023"/>
    <w:rsid w:val="60CA81AE"/>
    <w:rsid w:val="60CB23BE"/>
    <w:rsid w:val="60D45D2E"/>
    <w:rsid w:val="60FE9611"/>
    <w:rsid w:val="60FF691A"/>
    <w:rsid w:val="61064480"/>
    <w:rsid w:val="6110A381"/>
    <w:rsid w:val="6117B688"/>
    <w:rsid w:val="6148347E"/>
    <w:rsid w:val="6184E3AE"/>
    <w:rsid w:val="619151B7"/>
    <w:rsid w:val="61B0C2FC"/>
    <w:rsid w:val="61B83C4A"/>
    <w:rsid w:val="61B8B082"/>
    <w:rsid w:val="61E57E57"/>
    <w:rsid w:val="61EBEC2A"/>
    <w:rsid w:val="6200D342"/>
    <w:rsid w:val="621B67A0"/>
    <w:rsid w:val="6229009D"/>
    <w:rsid w:val="6241FFA4"/>
    <w:rsid w:val="629A6672"/>
    <w:rsid w:val="62CA3036"/>
    <w:rsid w:val="62CC687E"/>
    <w:rsid w:val="62F569F1"/>
    <w:rsid w:val="631CCDFB"/>
    <w:rsid w:val="632E4763"/>
    <w:rsid w:val="6342AAFD"/>
    <w:rsid w:val="635490BA"/>
    <w:rsid w:val="635B0911"/>
    <w:rsid w:val="635C689E"/>
    <w:rsid w:val="63679600"/>
    <w:rsid w:val="636FEB57"/>
    <w:rsid w:val="638EAE32"/>
    <w:rsid w:val="639161BF"/>
    <w:rsid w:val="63C563D0"/>
    <w:rsid w:val="63C6111A"/>
    <w:rsid w:val="63D28C2D"/>
    <w:rsid w:val="63EF5A1E"/>
    <w:rsid w:val="63FC252E"/>
    <w:rsid w:val="6419E66B"/>
    <w:rsid w:val="641AF389"/>
    <w:rsid w:val="644EFF99"/>
    <w:rsid w:val="64635F93"/>
    <w:rsid w:val="646FAA6E"/>
    <w:rsid w:val="64769CC5"/>
    <w:rsid w:val="6484A15D"/>
    <w:rsid w:val="648A5841"/>
    <w:rsid w:val="648FDC54"/>
    <w:rsid w:val="64C26413"/>
    <w:rsid w:val="64D44666"/>
    <w:rsid w:val="64E5DC5B"/>
    <w:rsid w:val="64E863BE"/>
    <w:rsid w:val="64F05144"/>
    <w:rsid w:val="652F76C1"/>
    <w:rsid w:val="654A3C84"/>
    <w:rsid w:val="655FFE76"/>
    <w:rsid w:val="65664B0A"/>
    <w:rsid w:val="657CA877"/>
    <w:rsid w:val="65BA60BE"/>
    <w:rsid w:val="65BDD5B8"/>
    <w:rsid w:val="65C37F90"/>
    <w:rsid w:val="65C75C6E"/>
    <w:rsid w:val="65E8278E"/>
    <w:rsid w:val="662FFDD4"/>
    <w:rsid w:val="6640970E"/>
    <w:rsid w:val="6666F2B6"/>
    <w:rsid w:val="6686A6DB"/>
    <w:rsid w:val="668C21A5"/>
    <w:rsid w:val="66A57BD8"/>
    <w:rsid w:val="66CC58D0"/>
    <w:rsid w:val="66FE20C4"/>
    <w:rsid w:val="670CEFD2"/>
    <w:rsid w:val="6715847B"/>
    <w:rsid w:val="67469FDB"/>
    <w:rsid w:val="6753020E"/>
    <w:rsid w:val="676563AF"/>
    <w:rsid w:val="6786ED47"/>
    <w:rsid w:val="678E3FFC"/>
    <w:rsid w:val="6799E257"/>
    <w:rsid w:val="679A7A2B"/>
    <w:rsid w:val="679AA6EE"/>
    <w:rsid w:val="67A3295C"/>
    <w:rsid w:val="67B7BA6C"/>
    <w:rsid w:val="67CCFB50"/>
    <w:rsid w:val="68010114"/>
    <w:rsid w:val="6803B4A1"/>
    <w:rsid w:val="68064BDB"/>
    <w:rsid w:val="6815F929"/>
    <w:rsid w:val="6822A036"/>
    <w:rsid w:val="683102A3"/>
    <w:rsid w:val="68443CE9"/>
    <w:rsid w:val="684B19FA"/>
    <w:rsid w:val="685E87AD"/>
    <w:rsid w:val="68648704"/>
    <w:rsid w:val="6889AAD5"/>
    <w:rsid w:val="6891BFD7"/>
    <w:rsid w:val="68932C84"/>
    <w:rsid w:val="6893872F"/>
    <w:rsid w:val="68AB3627"/>
    <w:rsid w:val="68BB8D39"/>
    <w:rsid w:val="68C2071F"/>
    <w:rsid w:val="68D4CD0D"/>
    <w:rsid w:val="68F7B4FA"/>
    <w:rsid w:val="68FDFCC5"/>
    <w:rsid w:val="6905ADFF"/>
    <w:rsid w:val="690CD3B3"/>
    <w:rsid w:val="691EDBA1"/>
    <w:rsid w:val="6971E7E7"/>
    <w:rsid w:val="6973BC03"/>
    <w:rsid w:val="6985A2A8"/>
    <w:rsid w:val="69AE2B1E"/>
    <w:rsid w:val="69B0CE37"/>
    <w:rsid w:val="69BF5D7B"/>
    <w:rsid w:val="69C3C267"/>
    <w:rsid w:val="69D7E3F2"/>
    <w:rsid w:val="69DD1C9A"/>
    <w:rsid w:val="69EB2D75"/>
    <w:rsid w:val="6A07E2C7"/>
    <w:rsid w:val="6A2FF461"/>
    <w:rsid w:val="6A3BF90F"/>
    <w:rsid w:val="6A560D74"/>
    <w:rsid w:val="6A6F2290"/>
    <w:rsid w:val="6A73C6A4"/>
    <w:rsid w:val="6A879458"/>
    <w:rsid w:val="6A89F8B3"/>
    <w:rsid w:val="6A9633DC"/>
    <w:rsid w:val="6AA61DE7"/>
    <w:rsid w:val="6AB3C830"/>
    <w:rsid w:val="6AE25261"/>
    <w:rsid w:val="6AEC40E5"/>
    <w:rsid w:val="6AF3D486"/>
    <w:rsid w:val="6AFA6B96"/>
    <w:rsid w:val="6BB6C7AE"/>
    <w:rsid w:val="6BBA6485"/>
    <w:rsid w:val="6BD032E3"/>
    <w:rsid w:val="6BF63208"/>
    <w:rsid w:val="6C13512F"/>
    <w:rsid w:val="6C539F94"/>
    <w:rsid w:val="6CADFF7F"/>
    <w:rsid w:val="6CD4AED7"/>
    <w:rsid w:val="6CE0ECDA"/>
    <w:rsid w:val="6CF4DCFD"/>
    <w:rsid w:val="6CFB6329"/>
    <w:rsid w:val="6CFF9B4F"/>
    <w:rsid w:val="6D04725E"/>
    <w:rsid w:val="6D12146A"/>
    <w:rsid w:val="6D350BAB"/>
    <w:rsid w:val="6D6F89EA"/>
    <w:rsid w:val="6D8ED82A"/>
    <w:rsid w:val="6D990834"/>
    <w:rsid w:val="6D9A315C"/>
    <w:rsid w:val="6D9A9596"/>
    <w:rsid w:val="6D9AA9FF"/>
    <w:rsid w:val="6DE2D948"/>
    <w:rsid w:val="6DE5A6D7"/>
    <w:rsid w:val="6DFA4B9D"/>
    <w:rsid w:val="6E1882F0"/>
    <w:rsid w:val="6E4C1282"/>
    <w:rsid w:val="6E5412DA"/>
    <w:rsid w:val="6E59F036"/>
    <w:rsid w:val="6E6A936B"/>
    <w:rsid w:val="6E88FFFB"/>
    <w:rsid w:val="6E8B8936"/>
    <w:rsid w:val="6E8C36D9"/>
    <w:rsid w:val="6E97338A"/>
    <w:rsid w:val="6EFC8483"/>
    <w:rsid w:val="6F156F47"/>
    <w:rsid w:val="6F19DB31"/>
    <w:rsid w:val="6F2EA82E"/>
    <w:rsid w:val="6F305B39"/>
    <w:rsid w:val="6F3EB3C1"/>
    <w:rsid w:val="6F5CBDC5"/>
    <w:rsid w:val="6F65BEB2"/>
    <w:rsid w:val="6F713B21"/>
    <w:rsid w:val="6F79D9EF"/>
    <w:rsid w:val="6F82A3CA"/>
    <w:rsid w:val="6F972880"/>
    <w:rsid w:val="6FAF3370"/>
    <w:rsid w:val="6FE4137D"/>
    <w:rsid w:val="7026363A"/>
    <w:rsid w:val="7041D604"/>
    <w:rsid w:val="70519CFB"/>
    <w:rsid w:val="705F4F27"/>
    <w:rsid w:val="706294D3"/>
    <w:rsid w:val="708A73B2"/>
    <w:rsid w:val="7093F5C2"/>
    <w:rsid w:val="70D1B82F"/>
    <w:rsid w:val="70D3E9E6"/>
    <w:rsid w:val="70D47075"/>
    <w:rsid w:val="70F0DDDF"/>
    <w:rsid w:val="712D604C"/>
    <w:rsid w:val="7158BCFB"/>
    <w:rsid w:val="718369DB"/>
    <w:rsid w:val="71AA5300"/>
    <w:rsid w:val="71ABA0C5"/>
    <w:rsid w:val="71BCEB1F"/>
    <w:rsid w:val="71D0DAD2"/>
    <w:rsid w:val="7207BE2E"/>
    <w:rsid w:val="721D1DCB"/>
    <w:rsid w:val="723B1E49"/>
    <w:rsid w:val="72676105"/>
    <w:rsid w:val="728A9B87"/>
    <w:rsid w:val="728BD66E"/>
    <w:rsid w:val="72975016"/>
    <w:rsid w:val="729A0240"/>
    <w:rsid w:val="729E382F"/>
    <w:rsid w:val="72CE4620"/>
    <w:rsid w:val="72D0C382"/>
    <w:rsid w:val="73046337"/>
    <w:rsid w:val="7314C7CA"/>
    <w:rsid w:val="7328C8A6"/>
    <w:rsid w:val="73578533"/>
    <w:rsid w:val="735A59AF"/>
    <w:rsid w:val="739C7F1F"/>
    <w:rsid w:val="73A47FA4"/>
    <w:rsid w:val="73B2E5A5"/>
    <w:rsid w:val="73C59F24"/>
    <w:rsid w:val="73D5334C"/>
    <w:rsid w:val="7429B9FE"/>
    <w:rsid w:val="743156BE"/>
    <w:rsid w:val="7464E78C"/>
    <w:rsid w:val="746F06C9"/>
    <w:rsid w:val="74A568A6"/>
    <w:rsid w:val="74E2D5AF"/>
    <w:rsid w:val="74EF6AE8"/>
    <w:rsid w:val="74F39F5C"/>
    <w:rsid w:val="751C300C"/>
    <w:rsid w:val="752C0DB4"/>
    <w:rsid w:val="752C1BFC"/>
    <w:rsid w:val="752D8D7E"/>
    <w:rsid w:val="753B8A09"/>
    <w:rsid w:val="75560C6B"/>
    <w:rsid w:val="756A8D74"/>
    <w:rsid w:val="757A29C0"/>
    <w:rsid w:val="7595621B"/>
    <w:rsid w:val="7595D6C9"/>
    <w:rsid w:val="759930C8"/>
    <w:rsid w:val="75CB305A"/>
    <w:rsid w:val="75EE2A2E"/>
    <w:rsid w:val="75F589AC"/>
    <w:rsid w:val="75FA2C28"/>
    <w:rsid w:val="75FC9BE7"/>
    <w:rsid w:val="76001180"/>
    <w:rsid w:val="761C9D79"/>
    <w:rsid w:val="763CE50E"/>
    <w:rsid w:val="76553493"/>
    <w:rsid w:val="765C5439"/>
    <w:rsid w:val="766DAF4D"/>
    <w:rsid w:val="768A32C6"/>
    <w:rsid w:val="7698F1FA"/>
    <w:rsid w:val="76B6E6B5"/>
    <w:rsid w:val="76BF8BBB"/>
    <w:rsid w:val="76C21F21"/>
    <w:rsid w:val="76D2E39F"/>
    <w:rsid w:val="76E702A2"/>
    <w:rsid w:val="770352F1"/>
    <w:rsid w:val="7712087D"/>
    <w:rsid w:val="77192ACA"/>
    <w:rsid w:val="774E5832"/>
    <w:rsid w:val="77688279"/>
    <w:rsid w:val="777D1815"/>
    <w:rsid w:val="779C1188"/>
    <w:rsid w:val="77BAE4B0"/>
    <w:rsid w:val="77C5A773"/>
    <w:rsid w:val="77E58035"/>
    <w:rsid w:val="77F4F48B"/>
    <w:rsid w:val="782183B3"/>
    <w:rsid w:val="78603347"/>
    <w:rsid w:val="78778886"/>
    <w:rsid w:val="788BB74D"/>
    <w:rsid w:val="78A0919C"/>
    <w:rsid w:val="78AE2A9D"/>
    <w:rsid w:val="78B0F66A"/>
    <w:rsid w:val="78C0A4E0"/>
    <w:rsid w:val="78C713FF"/>
    <w:rsid w:val="78FF009D"/>
    <w:rsid w:val="790E6B67"/>
    <w:rsid w:val="792264C1"/>
    <w:rsid w:val="7951C801"/>
    <w:rsid w:val="79541674"/>
    <w:rsid w:val="798EF6BF"/>
    <w:rsid w:val="79A55F20"/>
    <w:rsid w:val="79C83ADA"/>
    <w:rsid w:val="79D616CC"/>
    <w:rsid w:val="79DC0973"/>
    <w:rsid w:val="79F12264"/>
    <w:rsid w:val="79F73F97"/>
    <w:rsid w:val="7A07BD37"/>
    <w:rsid w:val="7A13A306"/>
    <w:rsid w:val="7A1AE465"/>
    <w:rsid w:val="7A4485FC"/>
    <w:rsid w:val="7A51B775"/>
    <w:rsid w:val="7A648E62"/>
    <w:rsid w:val="7AE96CAC"/>
    <w:rsid w:val="7B5AE3D9"/>
    <w:rsid w:val="7B62029D"/>
    <w:rsid w:val="7BA38D98"/>
    <w:rsid w:val="7BA4A00C"/>
    <w:rsid w:val="7BE10146"/>
    <w:rsid w:val="7BED976D"/>
    <w:rsid w:val="7BFF4D16"/>
    <w:rsid w:val="7C2E0420"/>
    <w:rsid w:val="7C380B17"/>
    <w:rsid w:val="7C446DFA"/>
    <w:rsid w:val="7C4540ED"/>
    <w:rsid w:val="7C49DD66"/>
    <w:rsid w:val="7C4AA6F4"/>
    <w:rsid w:val="7C505128"/>
    <w:rsid w:val="7C654DF9"/>
    <w:rsid w:val="7C6E0F35"/>
    <w:rsid w:val="7C7AF39D"/>
    <w:rsid w:val="7CDBF5A5"/>
    <w:rsid w:val="7CE38CCC"/>
    <w:rsid w:val="7CEB383E"/>
    <w:rsid w:val="7D3C84F3"/>
    <w:rsid w:val="7D40B28B"/>
    <w:rsid w:val="7D4C7D50"/>
    <w:rsid w:val="7D826C95"/>
    <w:rsid w:val="7D83A10D"/>
    <w:rsid w:val="7D9FD1BE"/>
    <w:rsid w:val="7DB93C2A"/>
    <w:rsid w:val="7DEA3816"/>
    <w:rsid w:val="7E002B57"/>
    <w:rsid w:val="7E2B660D"/>
    <w:rsid w:val="7E576836"/>
    <w:rsid w:val="7E5B8ABD"/>
    <w:rsid w:val="7E685A9A"/>
    <w:rsid w:val="7E710693"/>
    <w:rsid w:val="7E7E1E04"/>
    <w:rsid w:val="7EB2A465"/>
    <w:rsid w:val="7EC96FD8"/>
    <w:rsid w:val="7EF5BA1B"/>
    <w:rsid w:val="7EF80379"/>
    <w:rsid w:val="7F0C1D56"/>
    <w:rsid w:val="7F1182EB"/>
    <w:rsid w:val="7F5F9042"/>
    <w:rsid w:val="7F63AD14"/>
    <w:rsid w:val="7F85DBB4"/>
    <w:rsid w:val="7FD5EC27"/>
    <w:rsid w:val="7FDCA81C"/>
    <w:rsid w:val="7FDDE8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0864B"/>
  <w15:chartTrackingRefBased/>
  <w15:docId w15:val="{04B0E7C0-E572-43DB-85AE-622FB64E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48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9F20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9F20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9F202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6">
    <w:name w:val="heading 6"/>
    <w:basedOn w:val="Standaard"/>
    <w:next w:val="Standaard"/>
    <w:link w:val="Kop6Char"/>
    <w:uiPriority w:val="9"/>
    <w:semiHidden/>
    <w:unhideWhenUsed/>
    <w:qFormat/>
    <w:rsid w:val="00976B30"/>
    <w:pPr>
      <w:keepNext/>
      <w:keepLines/>
      <w:spacing w:before="40" w:after="0"/>
      <w:outlineLvl w:val="5"/>
    </w:pPr>
    <w:rPr>
      <w:rFonts w:eastAsiaTheme="majorEastAsia" w:cstheme="majorBidi"/>
      <w:i/>
      <w:iCs/>
      <w:color w:val="595959" w:themeColor="text1" w:themeTint="A6"/>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sid w:val="00C872D6"/>
    <w:rPr>
      <w:sz w:val="20"/>
      <w:szCs w:val="20"/>
    </w:rPr>
  </w:style>
  <w:style w:type="paragraph" w:styleId="Onderwerpvanopmerking">
    <w:name w:val="annotation subject"/>
    <w:basedOn w:val="Tekstopmerking"/>
    <w:next w:val="Tekstopmerking"/>
    <w:link w:val="OnderwerpvanopmerkingChar"/>
    <w:uiPriority w:val="99"/>
    <w:semiHidden/>
    <w:unhideWhenUsed/>
    <w:rsid w:val="00C872D6"/>
    <w:rPr>
      <w:b/>
      <w:bCs/>
    </w:rPr>
  </w:style>
  <w:style w:type="character" w:customStyle="1" w:styleId="OnderwerpvanopmerkingChar">
    <w:name w:val="Onderwerp van opmerking Char"/>
    <w:basedOn w:val="TekstopmerkingChar"/>
    <w:link w:val="Onderwerpvanopmerking"/>
    <w:uiPriority w:val="99"/>
    <w:semiHidden/>
    <w:rsid w:val="00C872D6"/>
    <w:rPr>
      <w:b/>
      <w:bCs/>
      <w:sz w:val="20"/>
      <w:szCs w:val="20"/>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E17A5"/>
    <w:pPr>
      <w:ind w:left="720"/>
      <w:contextualSpacing/>
    </w:pPr>
  </w:style>
  <w:style w:type="paragraph" w:styleId="Voettekst">
    <w:name w:val="footer"/>
    <w:basedOn w:val="Standaard"/>
    <w:link w:val="VoettekstChar"/>
    <w:uiPriority w:val="99"/>
    <w:unhideWhenUsed/>
    <w:rsid w:val="00F843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309"/>
  </w:style>
  <w:style w:type="paragraph" w:styleId="Revisie">
    <w:name w:val="Revision"/>
    <w:hidden/>
    <w:uiPriority w:val="99"/>
    <w:semiHidden/>
    <w:rsid w:val="00181AC9"/>
    <w:pPr>
      <w:spacing w:after="0" w:line="240" w:lineRule="auto"/>
    </w:pPr>
  </w:style>
  <w:style w:type="paragraph" w:styleId="Koptekst">
    <w:name w:val="header"/>
    <w:basedOn w:val="Standaard"/>
    <w:link w:val="KoptekstChar"/>
    <w:uiPriority w:val="99"/>
    <w:unhideWhenUsed/>
    <w:rsid w:val="00386D2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86D2B"/>
  </w:style>
  <w:style w:type="character" w:styleId="Hyperlink">
    <w:name w:val="Hyperlink"/>
    <w:basedOn w:val="Standaardalinea-lettertype"/>
    <w:uiPriority w:val="99"/>
    <w:unhideWhenUsed/>
    <w:rsid w:val="00386D2B"/>
    <w:rPr>
      <w:color w:val="0563C1" w:themeColor="hyperlink"/>
      <w:u w:val="single"/>
    </w:rPr>
  </w:style>
  <w:style w:type="character" w:styleId="Onopgelostemelding">
    <w:name w:val="Unresolved Mention"/>
    <w:basedOn w:val="Standaardalinea-lettertype"/>
    <w:uiPriority w:val="99"/>
    <w:semiHidden/>
    <w:unhideWhenUsed/>
    <w:rsid w:val="00386D2B"/>
    <w:rPr>
      <w:color w:val="605E5C"/>
      <w:shd w:val="clear" w:color="auto" w:fill="E1DFDD"/>
    </w:rPr>
  </w:style>
  <w:style w:type="paragraph" w:styleId="Voetnoottekst">
    <w:name w:val="footnote text"/>
    <w:basedOn w:val="Standaard"/>
    <w:link w:val="VoetnoottekstChar"/>
    <w:uiPriority w:val="99"/>
    <w:unhideWhenUsed/>
    <w:qFormat/>
    <w:rsid w:val="008E03D9"/>
    <w:pPr>
      <w:spacing w:after="0" w:line="240" w:lineRule="auto"/>
    </w:pPr>
    <w:rPr>
      <w:sz w:val="20"/>
      <w:szCs w:val="20"/>
    </w:rPr>
  </w:style>
  <w:style w:type="character" w:customStyle="1" w:styleId="VoetnoottekstChar">
    <w:name w:val="Voetnoottekst Char"/>
    <w:basedOn w:val="Standaardalinea-lettertype"/>
    <w:link w:val="Voetnoottekst"/>
    <w:uiPriority w:val="99"/>
    <w:rsid w:val="008E03D9"/>
    <w:rPr>
      <w:sz w:val="20"/>
      <w:szCs w:val="20"/>
    </w:rPr>
  </w:style>
  <w:style w:type="character" w:styleId="Voetnootmarkering">
    <w:name w:val="footnote reference"/>
    <w:aliases w:val="ftref"/>
    <w:basedOn w:val="Standaardalinea-lettertype"/>
    <w:uiPriority w:val="99"/>
    <w:unhideWhenUsed/>
    <w:rsid w:val="008E03D9"/>
    <w:rPr>
      <w:vertAlign w:val="superscript"/>
    </w:rPr>
  </w:style>
  <w:style w:type="table" w:styleId="Tabelraster">
    <w:name w:val="Table Grid"/>
    <w:basedOn w:val="Standaardtabel"/>
    <w:uiPriority w:val="39"/>
    <w:rsid w:val="00AD5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0E0DD4"/>
    <w:rPr>
      <w:rFonts w:ascii="Segoe UI" w:hAnsi="Segoe UI" w:cs="Segoe UI" w:hint="default"/>
      <w:sz w:val="18"/>
      <w:szCs w:val="18"/>
    </w:rPr>
  </w:style>
  <w:style w:type="character" w:styleId="GevolgdeHyperlink">
    <w:name w:val="FollowedHyperlink"/>
    <w:basedOn w:val="Standaardalinea-lettertype"/>
    <w:uiPriority w:val="99"/>
    <w:semiHidden/>
    <w:unhideWhenUsed/>
    <w:rsid w:val="003B74AD"/>
    <w:rPr>
      <w:color w:val="954F72" w:themeColor="followedHyperlink"/>
      <w:u w:val="single"/>
    </w:rPr>
  </w:style>
  <w:style w:type="character" w:customStyle="1" w:styleId="Kop6Char">
    <w:name w:val="Kop 6 Char"/>
    <w:basedOn w:val="Standaardalinea-lettertype"/>
    <w:link w:val="Kop6"/>
    <w:uiPriority w:val="9"/>
    <w:semiHidden/>
    <w:rsid w:val="00976B30"/>
    <w:rPr>
      <w:rFonts w:eastAsiaTheme="majorEastAsia" w:cstheme="majorBidi"/>
      <w:i/>
      <w:iCs/>
      <w:color w:val="595959" w:themeColor="text1" w:themeTint="A6"/>
      <w:kern w:val="0"/>
      <w:lang w:val="en-GB"/>
    </w:rPr>
  </w:style>
  <w:style w:type="paragraph" w:styleId="Geenafstand">
    <w:name w:val="No Spacing"/>
    <w:link w:val="GeenafstandChar"/>
    <w:uiPriority w:val="1"/>
    <w:qFormat/>
    <w:rsid w:val="00976B30"/>
    <w:pPr>
      <w:spacing w:after="0" w:line="240" w:lineRule="auto"/>
    </w:pPr>
    <w:rPr>
      <w:kern w:val="0"/>
    </w:rPr>
  </w:style>
  <w:style w:type="paragraph" w:customStyle="1" w:styleId="al">
    <w:name w:val="al"/>
    <w:basedOn w:val="Standaard"/>
    <w:rsid w:val="00316D1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5933B9"/>
  </w:style>
  <w:style w:type="character" w:customStyle="1" w:styleId="Kop1Char">
    <w:name w:val="Kop 1 Char"/>
    <w:basedOn w:val="Standaardalinea-lettertype"/>
    <w:link w:val="Kop1"/>
    <w:uiPriority w:val="9"/>
    <w:rsid w:val="00BA48B7"/>
    <w:rPr>
      <w:rFonts w:asciiTheme="majorHAnsi" w:eastAsiaTheme="majorEastAsia" w:hAnsiTheme="majorHAnsi" w:cstheme="majorBidi"/>
      <w:color w:val="2F5496" w:themeColor="accent1" w:themeShade="BF"/>
      <w:sz w:val="32"/>
      <w:szCs w:val="32"/>
    </w:rPr>
  </w:style>
  <w:style w:type="paragraph" w:styleId="Eindnoottekst">
    <w:name w:val="endnote text"/>
    <w:basedOn w:val="Standaard"/>
    <w:link w:val="EindnoottekstChar"/>
    <w:uiPriority w:val="99"/>
    <w:semiHidden/>
    <w:unhideWhenUsed/>
    <w:rsid w:val="0040069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400699"/>
    <w:rPr>
      <w:sz w:val="20"/>
      <w:szCs w:val="20"/>
    </w:rPr>
  </w:style>
  <w:style w:type="character" w:styleId="Eindnootmarkering">
    <w:name w:val="endnote reference"/>
    <w:basedOn w:val="Standaardalinea-lettertype"/>
    <w:uiPriority w:val="99"/>
    <w:semiHidden/>
    <w:unhideWhenUsed/>
    <w:rsid w:val="00400699"/>
    <w:rPr>
      <w:vertAlign w:val="superscript"/>
    </w:rPr>
  </w:style>
  <w:style w:type="character" w:customStyle="1" w:styleId="GeenafstandChar">
    <w:name w:val="Geen afstand Char"/>
    <w:basedOn w:val="Standaardalinea-lettertype"/>
    <w:link w:val="Geenafstand"/>
    <w:uiPriority w:val="1"/>
    <w:rsid w:val="00E32BE0"/>
    <w:rPr>
      <w:kern w:val="0"/>
      <w:lang w:val="en-GB"/>
    </w:rPr>
  </w:style>
  <w:style w:type="paragraph" w:customStyle="1" w:styleId="pf0">
    <w:name w:val="pf0"/>
    <w:basedOn w:val="Standaard"/>
    <w:rsid w:val="00E32BE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1">
    <w:name w:val="Grid Table 1 Light Accent 1"/>
    <w:basedOn w:val="Standaardtabel"/>
    <w:uiPriority w:val="46"/>
    <w:rsid w:val="0023506F"/>
    <w:pPr>
      <w:spacing w:after="0" w:line="240" w:lineRule="auto"/>
    </w:pPr>
    <w:rPr>
      <w:rFonts w:eastAsiaTheme="minorEastAsia"/>
      <w:sz w:val="24"/>
      <w:szCs w:val="24"/>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Kop2Char">
    <w:name w:val="Kop 2 Char"/>
    <w:basedOn w:val="Standaardalinea-lettertype"/>
    <w:link w:val="Kop2"/>
    <w:uiPriority w:val="9"/>
    <w:semiHidden/>
    <w:rsid w:val="009F202D"/>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9F202D"/>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9F202D"/>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semiHidden/>
    <w:unhideWhenUsed/>
    <w:rsid w:val="00453CC8"/>
    <w:rPr>
      <w:rFonts w:ascii="Times New Roman" w:hAnsi="Times New Roman" w:cs="Times New Roman"/>
      <w:sz w:val="24"/>
      <w:szCs w:val="24"/>
    </w:rPr>
  </w:style>
  <w:style w:type="character" w:customStyle="1" w:styleId="cf11">
    <w:name w:val="cf11"/>
    <w:basedOn w:val="Standaardalinea-lettertype"/>
    <w:rsid w:val="00B11E4B"/>
    <w:rPr>
      <w:rFonts w:ascii="Segoe UI" w:hAnsi="Segoe UI" w:cs="Segoe UI" w:hint="default"/>
      <w:sz w:val="18"/>
      <w:szCs w:val="18"/>
      <w:shd w:val="clear" w:color="auto" w:fill="FFFF00"/>
    </w:rPr>
  </w:style>
  <w:style w:type="character" w:customStyle="1" w:styleId="cf21">
    <w:name w:val="cf21"/>
    <w:basedOn w:val="Standaardalinea-lettertype"/>
    <w:rsid w:val="00B11E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0736">
      <w:bodyDiv w:val="1"/>
      <w:marLeft w:val="0"/>
      <w:marRight w:val="0"/>
      <w:marTop w:val="0"/>
      <w:marBottom w:val="0"/>
      <w:divBdr>
        <w:top w:val="none" w:sz="0" w:space="0" w:color="auto"/>
        <w:left w:val="none" w:sz="0" w:space="0" w:color="auto"/>
        <w:bottom w:val="none" w:sz="0" w:space="0" w:color="auto"/>
        <w:right w:val="none" w:sz="0" w:space="0" w:color="auto"/>
      </w:divBdr>
    </w:div>
    <w:div w:id="123737713">
      <w:bodyDiv w:val="1"/>
      <w:marLeft w:val="0"/>
      <w:marRight w:val="0"/>
      <w:marTop w:val="0"/>
      <w:marBottom w:val="0"/>
      <w:divBdr>
        <w:top w:val="none" w:sz="0" w:space="0" w:color="auto"/>
        <w:left w:val="none" w:sz="0" w:space="0" w:color="auto"/>
        <w:bottom w:val="none" w:sz="0" w:space="0" w:color="auto"/>
        <w:right w:val="none" w:sz="0" w:space="0" w:color="auto"/>
      </w:divBdr>
    </w:div>
    <w:div w:id="211885221">
      <w:bodyDiv w:val="1"/>
      <w:marLeft w:val="0"/>
      <w:marRight w:val="0"/>
      <w:marTop w:val="0"/>
      <w:marBottom w:val="0"/>
      <w:divBdr>
        <w:top w:val="none" w:sz="0" w:space="0" w:color="auto"/>
        <w:left w:val="none" w:sz="0" w:space="0" w:color="auto"/>
        <w:bottom w:val="none" w:sz="0" w:space="0" w:color="auto"/>
        <w:right w:val="none" w:sz="0" w:space="0" w:color="auto"/>
      </w:divBdr>
    </w:div>
    <w:div w:id="224217255">
      <w:bodyDiv w:val="1"/>
      <w:marLeft w:val="0"/>
      <w:marRight w:val="0"/>
      <w:marTop w:val="0"/>
      <w:marBottom w:val="0"/>
      <w:divBdr>
        <w:top w:val="none" w:sz="0" w:space="0" w:color="auto"/>
        <w:left w:val="none" w:sz="0" w:space="0" w:color="auto"/>
        <w:bottom w:val="none" w:sz="0" w:space="0" w:color="auto"/>
        <w:right w:val="none" w:sz="0" w:space="0" w:color="auto"/>
      </w:divBdr>
    </w:div>
    <w:div w:id="244385033">
      <w:bodyDiv w:val="1"/>
      <w:marLeft w:val="0"/>
      <w:marRight w:val="0"/>
      <w:marTop w:val="0"/>
      <w:marBottom w:val="0"/>
      <w:divBdr>
        <w:top w:val="none" w:sz="0" w:space="0" w:color="auto"/>
        <w:left w:val="none" w:sz="0" w:space="0" w:color="auto"/>
        <w:bottom w:val="none" w:sz="0" w:space="0" w:color="auto"/>
        <w:right w:val="none" w:sz="0" w:space="0" w:color="auto"/>
      </w:divBdr>
    </w:div>
    <w:div w:id="265769782">
      <w:bodyDiv w:val="1"/>
      <w:marLeft w:val="0"/>
      <w:marRight w:val="0"/>
      <w:marTop w:val="0"/>
      <w:marBottom w:val="0"/>
      <w:divBdr>
        <w:top w:val="none" w:sz="0" w:space="0" w:color="auto"/>
        <w:left w:val="none" w:sz="0" w:space="0" w:color="auto"/>
        <w:bottom w:val="none" w:sz="0" w:space="0" w:color="auto"/>
        <w:right w:val="none" w:sz="0" w:space="0" w:color="auto"/>
      </w:divBdr>
    </w:div>
    <w:div w:id="291135333">
      <w:bodyDiv w:val="1"/>
      <w:marLeft w:val="0"/>
      <w:marRight w:val="0"/>
      <w:marTop w:val="0"/>
      <w:marBottom w:val="0"/>
      <w:divBdr>
        <w:top w:val="none" w:sz="0" w:space="0" w:color="auto"/>
        <w:left w:val="none" w:sz="0" w:space="0" w:color="auto"/>
        <w:bottom w:val="none" w:sz="0" w:space="0" w:color="auto"/>
        <w:right w:val="none" w:sz="0" w:space="0" w:color="auto"/>
      </w:divBdr>
    </w:div>
    <w:div w:id="322707255">
      <w:bodyDiv w:val="1"/>
      <w:marLeft w:val="0"/>
      <w:marRight w:val="0"/>
      <w:marTop w:val="0"/>
      <w:marBottom w:val="0"/>
      <w:divBdr>
        <w:top w:val="none" w:sz="0" w:space="0" w:color="auto"/>
        <w:left w:val="none" w:sz="0" w:space="0" w:color="auto"/>
        <w:bottom w:val="none" w:sz="0" w:space="0" w:color="auto"/>
        <w:right w:val="none" w:sz="0" w:space="0" w:color="auto"/>
      </w:divBdr>
    </w:div>
    <w:div w:id="425422017">
      <w:bodyDiv w:val="1"/>
      <w:marLeft w:val="0"/>
      <w:marRight w:val="0"/>
      <w:marTop w:val="0"/>
      <w:marBottom w:val="0"/>
      <w:divBdr>
        <w:top w:val="none" w:sz="0" w:space="0" w:color="auto"/>
        <w:left w:val="none" w:sz="0" w:space="0" w:color="auto"/>
        <w:bottom w:val="none" w:sz="0" w:space="0" w:color="auto"/>
        <w:right w:val="none" w:sz="0" w:space="0" w:color="auto"/>
      </w:divBdr>
    </w:div>
    <w:div w:id="466512463">
      <w:bodyDiv w:val="1"/>
      <w:marLeft w:val="0"/>
      <w:marRight w:val="0"/>
      <w:marTop w:val="0"/>
      <w:marBottom w:val="0"/>
      <w:divBdr>
        <w:top w:val="none" w:sz="0" w:space="0" w:color="auto"/>
        <w:left w:val="none" w:sz="0" w:space="0" w:color="auto"/>
        <w:bottom w:val="none" w:sz="0" w:space="0" w:color="auto"/>
        <w:right w:val="none" w:sz="0" w:space="0" w:color="auto"/>
      </w:divBdr>
    </w:div>
    <w:div w:id="472675047">
      <w:bodyDiv w:val="1"/>
      <w:marLeft w:val="0"/>
      <w:marRight w:val="0"/>
      <w:marTop w:val="0"/>
      <w:marBottom w:val="0"/>
      <w:divBdr>
        <w:top w:val="none" w:sz="0" w:space="0" w:color="auto"/>
        <w:left w:val="none" w:sz="0" w:space="0" w:color="auto"/>
        <w:bottom w:val="none" w:sz="0" w:space="0" w:color="auto"/>
        <w:right w:val="none" w:sz="0" w:space="0" w:color="auto"/>
      </w:divBdr>
    </w:div>
    <w:div w:id="477379214">
      <w:bodyDiv w:val="1"/>
      <w:marLeft w:val="0"/>
      <w:marRight w:val="0"/>
      <w:marTop w:val="0"/>
      <w:marBottom w:val="0"/>
      <w:divBdr>
        <w:top w:val="none" w:sz="0" w:space="0" w:color="auto"/>
        <w:left w:val="none" w:sz="0" w:space="0" w:color="auto"/>
        <w:bottom w:val="none" w:sz="0" w:space="0" w:color="auto"/>
        <w:right w:val="none" w:sz="0" w:space="0" w:color="auto"/>
      </w:divBdr>
    </w:div>
    <w:div w:id="498813001">
      <w:bodyDiv w:val="1"/>
      <w:marLeft w:val="0"/>
      <w:marRight w:val="0"/>
      <w:marTop w:val="0"/>
      <w:marBottom w:val="0"/>
      <w:divBdr>
        <w:top w:val="none" w:sz="0" w:space="0" w:color="auto"/>
        <w:left w:val="none" w:sz="0" w:space="0" w:color="auto"/>
        <w:bottom w:val="none" w:sz="0" w:space="0" w:color="auto"/>
        <w:right w:val="none" w:sz="0" w:space="0" w:color="auto"/>
      </w:divBdr>
    </w:div>
    <w:div w:id="538710193">
      <w:bodyDiv w:val="1"/>
      <w:marLeft w:val="0"/>
      <w:marRight w:val="0"/>
      <w:marTop w:val="0"/>
      <w:marBottom w:val="0"/>
      <w:divBdr>
        <w:top w:val="none" w:sz="0" w:space="0" w:color="auto"/>
        <w:left w:val="none" w:sz="0" w:space="0" w:color="auto"/>
        <w:bottom w:val="none" w:sz="0" w:space="0" w:color="auto"/>
        <w:right w:val="none" w:sz="0" w:space="0" w:color="auto"/>
      </w:divBdr>
    </w:div>
    <w:div w:id="705059242">
      <w:bodyDiv w:val="1"/>
      <w:marLeft w:val="0"/>
      <w:marRight w:val="0"/>
      <w:marTop w:val="0"/>
      <w:marBottom w:val="0"/>
      <w:divBdr>
        <w:top w:val="none" w:sz="0" w:space="0" w:color="auto"/>
        <w:left w:val="none" w:sz="0" w:space="0" w:color="auto"/>
        <w:bottom w:val="none" w:sz="0" w:space="0" w:color="auto"/>
        <w:right w:val="none" w:sz="0" w:space="0" w:color="auto"/>
      </w:divBdr>
    </w:div>
    <w:div w:id="728184776">
      <w:bodyDiv w:val="1"/>
      <w:marLeft w:val="0"/>
      <w:marRight w:val="0"/>
      <w:marTop w:val="0"/>
      <w:marBottom w:val="0"/>
      <w:divBdr>
        <w:top w:val="none" w:sz="0" w:space="0" w:color="auto"/>
        <w:left w:val="none" w:sz="0" w:space="0" w:color="auto"/>
        <w:bottom w:val="none" w:sz="0" w:space="0" w:color="auto"/>
        <w:right w:val="none" w:sz="0" w:space="0" w:color="auto"/>
      </w:divBdr>
    </w:div>
    <w:div w:id="884953269">
      <w:bodyDiv w:val="1"/>
      <w:marLeft w:val="0"/>
      <w:marRight w:val="0"/>
      <w:marTop w:val="0"/>
      <w:marBottom w:val="0"/>
      <w:divBdr>
        <w:top w:val="none" w:sz="0" w:space="0" w:color="auto"/>
        <w:left w:val="none" w:sz="0" w:space="0" w:color="auto"/>
        <w:bottom w:val="none" w:sz="0" w:space="0" w:color="auto"/>
        <w:right w:val="none" w:sz="0" w:space="0" w:color="auto"/>
      </w:divBdr>
    </w:div>
    <w:div w:id="892885488">
      <w:bodyDiv w:val="1"/>
      <w:marLeft w:val="0"/>
      <w:marRight w:val="0"/>
      <w:marTop w:val="0"/>
      <w:marBottom w:val="0"/>
      <w:divBdr>
        <w:top w:val="none" w:sz="0" w:space="0" w:color="auto"/>
        <w:left w:val="none" w:sz="0" w:space="0" w:color="auto"/>
        <w:bottom w:val="none" w:sz="0" w:space="0" w:color="auto"/>
        <w:right w:val="none" w:sz="0" w:space="0" w:color="auto"/>
      </w:divBdr>
    </w:div>
    <w:div w:id="910769011">
      <w:bodyDiv w:val="1"/>
      <w:marLeft w:val="0"/>
      <w:marRight w:val="0"/>
      <w:marTop w:val="0"/>
      <w:marBottom w:val="0"/>
      <w:divBdr>
        <w:top w:val="none" w:sz="0" w:space="0" w:color="auto"/>
        <w:left w:val="none" w:sz="0" w:space="0" w:color="auto"/>
        <w:bottom w:val="none" w:sz="0" w:space="0" w:color="auto"/>
        <w:right w:val="none" w:sz="0" w:space="0" w:color="auto"/>
      </w:divBdr>
    </w:div>
    <w:div w:id="917783493">
      <w:bodyDiv w:val="1"/>
      <w:marLeft w:val="0"/>
      <w:marRight w:val="0"/>
      <w:marTop w:val="0"/>
      <w:marBottom w:val="0"/>
      <w:divBdr>
        <w:top w:val="none" w:sz="0" w:space="0" w:color="auto"/>
        <w:left w:val="none" w:sz="0" w:space="0" w:color="auto"/>
        <w:bottom w:val="none" w:sz="0" w:space="0" w:color="auto"/>
        <w:right w:val="none" w:sz="0" w:space="0" w:color="auto"/>
      </w:divBdr>
    </w:div>
    <w:div w:id="928662748">
      <w:bodyDiv w:val="1"/>
      <w:marLeft w:val="0"/>
      <w:marRight w:val="0"/>
      <w:marTop w:val="0"/>
      <w:marBottom w:val="0"/>
      <w:divBdr>
        <w:top w:val="none" w:sz="0" w:space="0" w:color="auto"/>
        <w:left w:val="none" w:sz="0" w:space="0" w:color="auto"/>
        <w:bottom w:val="none" w:sz="0" w:space="0" w:color="auto"/>
        <w:right w:val="none" w:sz="0" w:space="0" w:color="auto"/>
      </w:divBdr>
    </w:div>
    <w:div w:id="1154760433">
      <w:bodyDiv w:val="1"/>
      <w:marLeft w:val="0"/>
      <w:marRight w:val="0"/>
      <w:marTop w:val="0"/>
      <w:marBottom w:val="0"/>
      <w:divBdr>
        <w:top w:val="none" w:sz="0" w:space="0" w:color="auto"/>
        <w:left w:val="none" w:sz="0" w:space="0" w:color="auto"/>
        <w:bottom w:val="none" w:sz="0" w:space="0" w:color="auto"/>
        <w:right w:val="none" w:sz="0" w:space="0" w:color="auto"/>
      </w:divBdr>
    </w:div>
    <w:div w:id="1231888484">
      <w:bodyDiv w:val="1"/>
      <w:marLeft w:val="0"/>
      <w:marRight w:val="0"/>
      <w:marTop w:val="0"/>
      <w:marBottom w:val="0"/>
      <w:divBdr>
        <w:top w:val="none" w:sz="0" w:space="0" w:color="auto"/>
        <w:left w:val="none" w:sz="0" w:space="0" w:color="auto"/>
        <w:bottom w:val="none" w:sz="0" w:space="0" w:color="auto"/>
        <w:right w:val="none" w:sz="0" w:space="0" w:color="auto"/>
      </w:divBdr>
    </w:div>
    <w:div w:id="1304777122">
      <w:bodyDiv w:val="1"/>
      <w:marLeft w:val="0"/>
      <w:marRight w:val="0"/>
      <w:marTop w:val="0"/>
      <w:marBottom w:val="0"/>
      <w:divBdr>
        <w:top w:val="none" w:sz="0" w:space="0" w:color="auto"/>
        <w:left w:val="none" w:sz="0" w:space="0" w:color="auto"/>
        <w:bottom w:val="none" w:sz="0" w:space="0" w:color="auto"/>
        <w:right w:val="none" w:sz="0" w:space="0" w:color="auto"/>
      </w:divBdr>
    </w:div>
    <w:div w:id="1358383985">
      <w:bodyDiv w:val="1"/>
      <w:marLeft w:val="0"/>
      <w:marRight w:val="0"/>
      <w:marTop w:val="0"/>
      <w:marBottom w:val="0"/>
      <w:divBdr>
        <w:top w:val="none" w:sz="0" w:space="0" w:color="auto"/>
        <w:left w:val="none" w:sz="0" w:space="0" w:color="auto"/>
        <w:bottom w:val="none" w:sz="0" w:space="0" w:color="auto"/>
        <w:right w:val="none" w:sz="0" w:space="0" w:color="auto"/>
      </w:divBdr>
    </w:div>
    <w:div w:id="1363629643">
      <w:bodyDiv w:val="1"/>
      <w:marLeft w:val="0"/>
      <w:marRight w:val="0"/>
      <w:marTop w:val="0"/>
      <w:marBottom w:val="0"/>
      <w:divBdr>
        <w:top w:val="none" w:sz="0" w:space="0" w:color="auto"/>
        <w:left w:val="none" w:sz="0" w:space="0" w:color="auto"/>
        <w:bottom w:val="none" w:sz="0" w:space="0" w:color="auto"/>
        <w:right w:val="none" w:sz="0" w:space="0" w:color="auto"/>
      </w:divBdr>
    </w:div>
    <w:div w:id="1414740671">
      <w:bodyDiv w:val="1"/>
      <w:marLeft w:val="0"/>
      <w:marRight w:val="0"/>
      <w:marTop w:val="0"/>
      <w:marBottom w:val="0"/>
      <w:divBdr>
        <w:top w:val="none" w:sz="0" w:space="0" w:color="auto"/>
        <w:left w:val="none" w:sz="0" w:space="0" w:color="auto"/>
        <w:bottom w:val="none" w:sz="0" w:space="0" w:color="auto"/>
        <w:right w:val="none" w:sz="0" w:space="0" w:color="auto"/>
      </w:divBdr>
    </w:div>
    <w:div w:id="1415669135">
      <w:bodyDiv w:val="1"/>
      <w:marLeft w:val="0"/>
      <w:marRight w:val="0"/>
      <w:marTop w:val="0"/>
      <w:marBottom w:val="0"/>
      <w:divBdr>
        <w:top w:val="none" w:sz="0" w:space="0" w:color="auto"/>
        <w:left w:val="none" w:sz="0" w:space="0" w:color="auto"/>
        <w:bottom w:val="none" w:sz="0" w:space="0" w:color="auto"/>
        <w:right w:val="none" w:sz="0" w:space="0" w:color="auto"/>
      </w:divBdr>
    </w:div>
    <w:div w:id="1427653027">
      <w:bodyDiv w:val="1"/>
      <w:marLeft w:val="0"/>
      <w:marRight w:val="0"/>
      <w:marTop w:val="0"/>
      <w:marBottom w:val="0"/>
      <w:divBdr>
        <w:top w:val="none" w:sz="0" w:space="0" w:color="auto"/>
        <w:left w:val="none" w:sz="0" w:space="0" w:color="auto"/>
        <w:bottom w:val="none" w:sz="0" w:space="0" w:color="auto"/>
        <w:right w:val="none" w:sz="0" w:space="0" w:color="auto"/>
      </w:divBdr>
    </w:div>
    <w:div w:id="1627001763">
      <w:bodyDiv w:val="1"/>
      <w:marLeft w:val="0"/>
      <w:marRight w:val="0"/>
      <w:marTop w:val="0"/>
      <w:marBottom w:val="0"/>
      <w:divBdr>
        <w:top w:val="none" w:sz="0" w:space="0" w:color="auto"/>
        <w:left w:val="none" w:sz="0" w:space="0" w:color="auto"/>
        <w:bottom w:val="none" w:sz="0" w:space="0" w:color="auto"/>
        <w:right w:val="none" w:sz="0" w:space="0" w:color="auto"/>
      </w:divBdr>
    </w:div>
    <w:div w:id="1655139118">
      <w:bodyDiv w:val="1"/>
      <w:marLeft w:val="0"/>
      <w:marRight w:val="0"/>
      <w:marTop w:val="0"/>
      <w:marBottom w:val="0"/>
      <w:divBdr>
        <w:top w:val="none" w:sz="0" w:space="0" w:color="auto"/>
        <w:left w:val="none" w:sz="0" w:space="0" w:color="auto"/>
        <w:bottom w:val="none" w:sz="0" w:space="0" w:color="auto"/>
        <w:right w:val="none" w:sz="0" w:space="0" w:color="auto"/>
      </w:divBdr>
    </w:div>
    <w:div w:id="1772702429">
      <w:bodyDiv w:val="1"/>
      <w:marLeft w:val="0"/>
      <w:marRight w:val="0"/>
      <w:marTop w:val="0"/>
      <w:marBottom w:val="0"/>
      <w:divBdr>
        <w:top w:val="none" w:sz="0" w:space="0" w:color="auto"/>
        <w:left w:val="none" w:sz="0" w:space="0" w:color="auto"/>
        <w:bottom w:val="none" w:sz="0" w:space="0" w:color="auto"/>
        <w:right w:val="none" w:sz="0" w:space="0" w:color="auto"/>
      </w:divBdr>
    </w:div>
    <w:div w:id="1879929229">
      <w:bodyDiv w:val="1"/>
      <w:marLeft w:val="0"/>
      <w:marRight w:val="0"/>
      <w:marTop w:val="0"/>
      <w:marBottom w:val="0"/>
      <w:divBdr>
        <w:top w:val="none" w:sz="0" w:space="0" w:color="auto"/>
        <w:left w:val="none" w:sz="0" w:space="0" w:color="auto"/>
        <w:bottom w:val="none" w:sz="0" w:space="0" w:color="auto"/>
        <w:right w:val="none" w:sz="0" w:space="0" w:color="auto"/>
      </w:divBdr>
    </w:div>
    <w:div w:id="1930192943">
      <w:bodyDiv w:val="1"/>
      <w:marLeft w:val="0"/>
      <w:marRight w:val="0"/>
      <w:marTop w:val="0"/>
      <w:marBottom w:val="0"/>
      <w:divBdr>
        <w:top w:val="none" w:sz="0" w:space="0" w:color="auto"/>
        <w:left w:val="none" w:sz="0" w:space="0" w:color="auto"/>
        <w:bottom w:val="none" w:sz="0" w:space="0" w:color="auto"/>
        <w:right w:val="none" w:sz="0" w:space="0" w:color="auto"/>
      </w:divBdr>
    </w:div>
    <w:div w:id="1995642995">
      <w:bodyDiv w:val="1"/>
      <w:marLeft w:val="0"/>
      <w:marRight w:val="0"/>
      <w:marTop w:val="0"/>
      <w:marBottom w:val="0"/>
      <w:divBdr>
        <w:top w:val="none" w:sz="0" w:space="0" w:color="auto"/>
        <w:left w:val="none" w:sz="0" w:space="0" w:color="auto"/>
        <w:bottom w:val="none" w:sz="0" w:space="0" w:color="auto"/>
        <w:right w:val="none" w:sz="0" w:space="0" w:color="auto"/>
      </w:divBdr>
    </w:div>
    <w:div w:id="20424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F2D9C501E90EA48A9D2ABF09B4324A8" ma:contentTypeVersion="2" ma:contentTypeDescription="Create a new document." ma:contentTypeScope="" ma:versionID="ca52dbd0e28ae1f784692652fce75ad0">
  <xsd:schema xmlns:xsd="http://www.w3.org/2001/XMLSchema" xmlns:xs="http://www.w3.org/2001/XMLSchema" xmlns:p="http://schemas.microsoft.com/office/2006/metadata/properties" xmlns:ns2="793f7dc4-4ad7-46c0-8014-070a6f545016" targetNamespace="http://schemas.microsoft.com/office/2006/metadata/properties" ma:root="true" ma:fieldsID="4aeae5c37eaf67757e8834922444c993" ns2:_="">
    <xsd:import namespace="793f7dc4-4ad7-46c0-8014-070a6f54501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f7dc4-4ad7-46c0-8014-070a6f5450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93f7dc4-4ad7-46c0-8014-070a6f545016">4K5HRVVYD57Z-380942010-396</_dlc_DocId>
    <_dlc_DocIdUrl xmlns="793f7dc4-4ad7-46c0-8014-070a6f545016">
      <Url>https://247.plaza.buzaservices.nl/subject/IGG-water/_layouts/15/DocIdRedir.aspx?ID=4K5HRVVYD57Z-380942010-396</Url>
      <Description>4K5HRVVYD57Z-380942010-396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76E4D2-D47E-412C-ABFE-E060240DB50D}">
  <ds:schemaRefs>
    <ds:schemaRef ds:uri="http://schemas.openxmlformats.org/officeDocument/2006/bibliography"/>
  </ds:schemaRefs>
</ds:datastoreItem>
</file>

<file path=customXml/itemProps2.xml><?xml version="1.0" encoding="utf-8"?>
<ds:datastoreItem xmlns:ds="http://schemas.openxmlformats.org/officeDocument/2006/customXml" ds:itemID="{882BA751-72E3-4B11-B74B-EFAE7D245BB4}">
  <ds:schemaRefs>
    <ds:schemaRef ds:uri="http://schemas.microsoft.com/sharepoint/events"/>
  </ds:schemaRefs>
</ds:datastoreItem>
</file>

<file path=customXml/itemProps3.xml><?xml version="1.0" encoding="utf-8"?>
<ds:datastoreItem xmlns:ds="http://schemas.openxmlformats.org/officeDocument/2006/customXml" ds:itemID="{23063AD1-F80B-4A55-A773-0FC8E0288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f7dc4-4ad7-46c0-8014-070a6f54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9CE822-7958-456D-A35F-04F43ADB0B20}">
  <ds:schemaRefs>
    <ds:schemaRef ds:uri="http://schemas.microsoft.com/office/2006/metadata/properties"/>
    <ds:schemaRef ds:uri="http://schemas.microsoft.com/office/infopath/2007/PartnerControls"/>
    <ds:schemaRef ds:uri="793f7dc4-4ad7-46c0-8014-070a6f545016"/>
  </ds:schemaRefs>
</ds:datastoreItem>
</file>

<file path=customXml/itemProps5.xml><?xml version="1.0" encoding="utf-8"?>
<ds:datastoreItem xmlns:ds="http://schemas.openxmlformats.org/officeDocument/2006/customXml" ds:itemID="{0806531A-8873-4771-8558-2014537FE2C0}">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23</Pages>
  <Words>8959</Words>
  <Characters>49275</Characters>
  <DocSecurity>0</DocSecurity>
  <Lines>410</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2026-08-24T09:19:00Z</dcterms:created>
  <dcterms:modified xsi:type="dcterms:W3CDTF">2026-08-24T10:24:00Z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0x0101009F2D9C501E90EA48A9D2ABF09B4324A8</vt:lpwstr>
  </property>
  <property fmtid="{D5CDD505-2E9C-101B-9397-08002B2CF9AE}" pid="3" name="_dlc_DocIdItemGuid">
    <vt:lpwstr>3efa6df6-7817-477b-8278-8f3fa89cfdb1</vt:lpwstr>
  </property>
</Properties>
</file>